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61121E">
      <w:pPr>
        <w:widowControl/>
        <w:spacing w:line="600" w:lineRule="exact"/>
        <w:jc w:val="center"/>
        <w:rPr>
          <w:rFonts w:hint="eastAsia" w:ascii="方正小标宋简体" w:hAnsi="仿宋" w:eastAsia="方正小标宋简体" w:cs="Times New Roman"/>
          <w:sz w:val="36"/>
          <w:szCs w:val="36"/>
        </w:rPr>
      </w:pPr>
      <w:r>
        <w:rPr>
          <w:rFonts w:hint="eastAsia" w:ascii="方正小标宋简体" w:hAnsi="仿宋" w:eastAsia="方正小标宋简体" w:cs="Times New Roman"/>
          <w:sz w:val="36"/>
          <w:szCs w:val="36"/>
        </w:rPr>
        <w:t>2026</w:t>
      </w:r>
      <w:r>
        <w:rPr>
          <w:rFonts w:ascii="方正小标宋简体" w:hAnsi="仿宋" w:eastAsia="方正小标宋简体" w:cs="Times New Roman"/>
          <w:sz w:val="36"/>
          <w:szCs w:val="36"/>
        </w:rPr>
        <w:t>级新生转专业资格及专业范围对照表</w:t>
      </w:r>
    </w:p>
    <w:p w14:paraId="0748C237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157" w:afterLines="50" w:afterAutospacing="0" w:line="560" w:lineRule="exact"/>
        <w:jc w:val="center"/>
        <w:textAlignment w:val="auto"/>
        <w:rPr>
          <w:rFonts w:hint="eastAsia" w:ascii="黑体" w:hAnsi="黑体" w:eastAsia="黑体"/>
          <w:spacing w:val="16"/>
          <w:sz w:val="32"/>
          <w:szCs w:val="32"/>
        </w:rPr>
      </w:pPr>
      <w:r>
        <w:rPr>
          <w:rFonts w:hint="eastAsia" w:ascii="黑体" w:hAnsi="黑体" w:eastAsia="黑体"/>
          <w:spacing w:val="16"/>
          <w:sz w:val="32"/>
          <w:szCs w:val="32"/>
          <w:lang w:val="en-US" w:eastAsia="zh-CN"/>
        </w:rPr>
        <w:t xml:space="preserve">    </w:t>
      </w:r>
      <w:r>
        <w:rPr>
          <w:rFonts w:hint="eastAsia" w:ascii="黑体" w:hAnsi="黑体" w:eastAsia="黑体"/>
          <w:spacing w:val="16"/>
          <w:sz w:val="30"/>
          <w:szCs w:val="30"/>
          <w:lang w:val="en-US" w:eastAsia="zh-CN"/>
        </w:rPr>
        <w:t xml:space="preserve"> 表1不具备</w:t>
      </w:r>
      <w:r>
        <w:rPr>
          <w:rFonts w:hint="eastAsia" w:ascii="黑体" w:hAnsi="黑体" w:eastAsia="黑体"/>
          <w:spacing w:val="16"/>
          <w:sz w:val="30"/>
          <w:szCs w:val="30"/>
        </w:rPr>
        <w:t>申请资格</w:t>
      </w:r>
      <w:r>
        <w:rPr>
          <w:rFonts w:hint="eastAsia" w:ascii="黑体" w:hAnsi="黑体" w:eastAsia="黑体"/>
          <w:spacing w:val="16"/>
          <w:sz w:val="30"/>
          <w:szCs w:val="30"/>
          <w:lang w:val="en-US" w:eastAsia="zh-CN"/>
        </w:rPr>
        <w:t>的专业</w:t>
      </w:r>
      <w:r>
        <w:rPr>
          <w:rFonts w:hint="eastAsia" w:ascii="黑体" w:hAnsi="黑体" w:eastAsia="黑体"/>
          <w:spacing w:val="16"/>
          <w:sz w:val="30"/>
          <w:szCs w:val="30"/>
        </w:rPr>
        <w:t>类别及对应专业</w:t>
      </w:r>
    </w:p>
    <w:tbl>
      <w:tblPr>
        <w:tblStyle w:val="3"/>
        <w:tblW w:w="0" w:type="auto"/>
        <w:tblInd w:w="0" w:type="dxa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243"/>
        <w:gridCol w:w="6281"/>
      </w:tblGrid>
      <w:tr w14:paraId="00C7FE6D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8" w:hRule="atLeast"/>
        </w:trPr>
        <w:tc>
          <w:tcPr>
            <w:tcW w:w="230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9C9C9"/>
          </w:tcPr>
          <w:p w14:paraId="6C27B7A4">
            <w:pPr>
              <w:widowControl/>
              <w:jc w:val="center"/>
              <w:rPr>
                <w:rFonts w:hint="eastAsia" w:ascii="楷体" w:hAnsi="楷体" w:eastAsia="楷体" w:cs="楷体"/>
                <w:b/>
                <w:bCs/>
                <w:color w:val="auto"/>
                <w:kern w:val="0"/>
                <w:szCs w:val="32"/>
              </w:rPr>
            </w:pPr>
            <w:r>
              <w:rPr>
                <w:rFonts w:hint="eastAsia" w:ascii="楷体" w:hAnsi="楷体" w:eastAsia="楷体" w:cs="楷体"/>
                <w:b/>
                <w:bCs/>
                <w:color w:val="auto"/>
                <w:kern w:val="0"/>
                <w:szCs w:val="32"/>
              </w:rPr>
              <w:t>类别</w:t>
            </w:r>
          </w:p>
        </w:tc>
        <w:tc>
          <w:tcPr>
            <w:tcW w:w="649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9C9C9"/>
            <w:vAlign w:val="center"/>
          </w:tcPr>
          <w:p w14:paraId="7136A86E">
            <w:pPr>
              <w:widowControl/>
              <w:jc w:val="center"/>
              <w:rPr>
                <w:color w:val="auto"/>
              </w:rPr>
            </w:pPr>
            <w:r>
              <w:rPr>
                <w:rFonts w:hint="eastAsia" w:ascii="楷体" w:hAnsi="楷体" w:eastAsia="楷体" w:cs="楷体"/>
                <w:b/>
                <w:bCs/>
                <w:color w:val="auto"/>
                <w:kern w:val="0"/>
                <w:szCs w:val="32"/>
              </w:rPr>
              <w:t>专业</w:t>
            </w:r>
          </w:p>
        </w:tc>
      </w:tr>
      <w:tr w14:paraId="242C780E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0" w:hRule="atLeast"/>
        </w:trPr>
        <w:tc>
          <w:tcPr>
            <w:tcW w:w="230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 w14:paraId="3D2540A6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对口本科</w:t>
            </w:r>
          </w:p>
        </w:tc>
        <w:tc>
          <w:tcPr>
            <w:tcW w:w="649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 w14:paraId="45106225">
            <w:pPr>
              <w:widowControl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面向中职毕业生对口招生专业</w:t>
            </w:r>
          </w:p>
        </w:tc>
      </w:tr>
      <w:tr w14:paraId="0A65E94C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4" w:hRule="atLeast"/>
        </w:trPr>
        <w:tc>
          <w:tcPr>
            <w:tcW w:w="230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 w14:paraId="3A6B93E3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专升本</w:t>
            </w:r>
          </w:p>
        </w:tc>
        <w:tc>
          <w:tcPr>
            <w:tcW w:w="649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 w14:paraId="758547CA">
            <w:pPr>
              <w:widowControl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普通高校专升本招生专业</w:t>
            </w:r>
          </w:p>
        </w:tc>
      </w:tr>
      <w:tr w14:paraId="14F10EBB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2" w:hRule="atLeast"/>
        </w:trPr>
        <w:tc>
          <w:tcPr>
            <w:tcW w:w="230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 w14:paraId="16DE215B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表导演类（表演）</w:t>
            </w:r>
          </w:p>
        </w:tc>
        <w:tc>
          <w:tcPr>
            <w:tcW w:w="649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 w14:paraId="6FEEDABB">
            <w:pPr>
              <w:widowControl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表演</w:t>
            </w:r>
          </w:p>
        </w:tc>
      </w:tr>
    </w:tbl>
    <w:p w14:paraId="7AE5EEA3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157" w:afterLines="50" w:afterAutospacing="0" w:line="560" w:lineRule="exact"/>
        <w:jc w:val="center"/>
        <w:textAlignment w:val="auto"/>
        <w:rPr>
          <w:rFonts w:hint="eastAsia" w:ascii="黑体" w:hAnsi="黑体" w:eastAsia="黑体"/>
          <w:spacing w:val="16"/>
          <w:sz w:val="30"/>
          <w:szCs w:val="30"/>
          <w:lang w:val="en-US" w:eastAsia="zh-CN"/>
        </w:rPr>
      </w:pPr>
      <w:r>
        <w:rPr>
          <w:rFonts w:hint="eastAsia" w:ascii="黑体" w:hAnsi="黑体" w:eastAsia="黑体"/>
          <w:spacing w:val="16"/>
          <w:sz w:val="32"/>
          <w:szCs w:val="32"/>
          <w:lang w:val="en-US" w:eastAsia="zh-CN"/>
        </w:rPr>
        <w:t xml:space="preserve">      </w:t>
      </w:r>
      <w:r>
        <w:rPr>
          <w:rFonts w:hint="eastAsia" w:ascii="黑体" w:hAnsi="黑体" w:eastAsia="黑体"/>
          <w:spacing w:val="16"/>
          <w:sz w:val="30"/>
          <w:szCs w:val="30"/>
          <w:lang w:val="en-US" w:eastAsia="zh-CN"/>
        </w:rPr>
        <w:t xml:space="preserve"> 表2具备申请资格的</w:t>
      </w:r>
      <w:bookmarkStart w:id="0" w:name="_GoBack"/>
      <w:bookmarkEnd w:id="0"/>
      <w:r>
        <w:rPr>
          <w:rFonts w:hint="eastAsia" w:ascii="黑体" w:hAnsi="黑体" w:eastAsia="黑体"/>
          <w:spacing w:val="16"/>
          <w:sz w:val="30"/>
          <w:szCs w:val="30"/>
          <w:lang w:val="en-US" w:eastAsia="zh-CN"/>
        </w:rPr>
        <w:t>专业类别及可选专业范围</w:t>
      </w:r>
    </w:p>
    <w:tbl>
      <w:tblPr>
        <w:tblStyle w:val="3"/>
        <w:tblW w:w="8524" w:type="dxa"/>
        <w:tblInd w:w="0" w:type="dxa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239"/>
        <w:gridCol w:w="1861"/>
        <w:gridCol w:w="4424"/>
      </w:tblGrid>
      <w:tr w14:paraId="56CE26F0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1" w:hRule="atLeast"/>
        </w:trPr>
        <w:tc>
          <w:tcPr>
            <w:tcW w:w="223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9C9C9"/>
            <w:vAlign w:val="center"/>
          </w:tcPr>
          <w:p w14:paraId="337554AE">
            <w:pPr>
              <w:widowControl/>
              <w:jc w:val="center"/>
              <w:rPr>
                <w:color w:val="auto"/>
              </w:rPr>
            </w:pPr>
          </w:p>
        </w:tc>
        <w:tc>
          <w:tcPr>
            <w:tcW w:w="186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C9C9C9"/>
            <w:vAlign w:val="center"/>
          </w:tcPr>
          <w:p w14:paraId="3B9ED941">
            <w:pPr>
              <w:widowControl/>
              <w:jc w:val="center"/>
              <w:rPr>
                <w:rFonts w:eastAsia="方正仿宋_GB2312" w:asciiTheme="minorHAnsi" w:hAnsiTheme="minorHAnsi" w:cstheme="minorBidi"/>
                <w:color w:val="auto"/>
                <w:kern w:val="2"/>
                <w:sz w:val="32"/>
                <w:szCs w:val="24"/>
                <w:lang w:val="en-US" w:eastAsia="zh-CN" w:bidi="ar-SA"/>
              </w:rPr>
            </w:pPr>
            <w:r>
              <w:rPr>
                <w:rFonts w:ascii="楷体" w:hAnsi="楷体" w:eastAsia="楷体" w:cs="楷体"/>
                <w:b/>
                <w:bCs/>
                <w:color w:val="auto"/>
                <w:kern w:val="0"/>
                <w:szCs w:val="32"/>
              </w:rPr>
              <w:t>类别</w:t>
            </w:r>
          </w:p>
        </w:tc>
        <w:tc>
          <w:tcPr>
            <w:tcW w:w="4424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shd w:val="clear" w:color="auto" w:fill="C9C9C9"/>
            <w:vAlign w:val="center"/>
          </w:tcPr>
          <w:p w14:paraId="6F504FED">
            <w:pPr>
              <w:widowControl/>
              <w:jc w:val="center"/>
              <w:rPr>
                <w:rFonts w:hint="eastAsia" w:eastAsia="方正仿宋_GB2312" w:asciiTheme="minorHAnsi" w:hAnsiTheme="minorHAnsi" w:cstheme="minorBidi"/>
                <w:color w:val="auto"/>
                <w:kern w:val="2"/>
                <w:sz w:val="32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/>
                <w:bCs/>
                <w:color w:val="auto"/>
                <w:kern w:val="0"/>
                <w:szCs w:val="32"/>
              </w:rPr>
              <w:t>专业</w:t>
            </w:r>
          </w:p>
        </w:tc>
      </w:tr>
      <w:tr w14:paraId="25D9D653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4" w:hRule="atLeast"/>
        </w:trPr>
        <w:tc>
          <w:tcPr>
            <w:tcW w:w="223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 w14:paraId="27E36A00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美术与设计类</w:t>
            </w:r>
          </w:p>
        </w:tc>
        <w:tc>
          <w:tcPr>
            <w:tcW w:w="186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FFFFFF"/>
            <w:vAlign w:val="center"/>
          </w:tcPr>
          <w:p w14:paraId="785E2423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</w:rPr>
              <w:t>安徽艺术统考本科批-美术与设计类专业组，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lang w:val="en-US" w:eastAsia="zh-CN"/>
              </w:rPr>
              <w:t>江苏、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</w:rPr>
              <w:t>河南艺术+历史，广东艺术</w:t>
            </w:r>
          </w:p>
        </w:tc>
        <w:tc>
          <w:tcPr>
            <w:tcW w:w="4424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 w14:paraId="5F098AB0">
            <w:pPr>
              <w:ind w:firstLine="240" w:firstLineChars="100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动画、视觉传达设计、新媒体艺术</w:t>
            </w:r>
          </w:p>
        </w:tc>
      </w:tr>
      <w:tr w14:paraId="0C166C1D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4" w:hRule="atLeast"/>
        </w:trPr>
        <w:tc>
          <w:tcPr>
            <w:tcW w:w="223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 w14:paraId="7F3ED0AF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lang w:eastAsia="zh-CN"/>
              </w:rPr>
              <w:t>历史+不限组</w:t>
            </w:r>
          </w:p>
        </w:tc>
        <w:tc>
          <w:tcPr>
            <w:tcW w:w="186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FFFFFF"/>
            <w:vAlign w:val="center"/>
          </w:tcPr>
          <w:p w14:paraId="4ADEFA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8"/>
                <w:szCs w:val="28"/>
              </w:rPr>
            </w:pPr>
          </w:p>
          <w:p w14:paraId="3066DE2F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</w:rPr>
              <w:t>安徽普通本科批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/>
              </w:rPr>
              <w:t>江苏、河南、四川、陕西</w:t>
            </w:r>
          </w:p>
        </w:tc>
        <w:tc>
          <w:tcPr>
            <w:tcW w:w="4424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 w14:paraId="4459B7A4">
            <w:pPr>
              <w:widowControl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风景园林、财务管理、会计学、审计学、电子商务、国际经济与贸易、商务英语。</w:t>
            </w:r>
          </w:p>
        </w:tc>
      </w:tr>
      <w:tr w14:paraId="6CA0DEC6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3" w:hRule="atLeast"/>
        </w:trPr>
        <w:tc>
          <w:tcPr>
            <w:tcW w:w="223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 w14:paraId="504B87BE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lang w:eastAsia="zh-CN"/>
              </w:rPr>
              <w:t>物理+不限组</w:t>
            </w:r>
          </w:p>
        </w:tc>
        <w:tc>
          <w:tcPr>
            <w:tcW w:w="186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FFFFFF"/>
            <w:vAlign w:val="center"/>
          </w:tcPr>
          <w:p w14:paraId="4E30704A"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</w:rPr>
              <w:t>安徽普通本科批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</w:rPr>
              <w:t>江苏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/>
              </w:rPr>
              <w:t>河南</w:t>
            </w:r>
          </w:p>
        </w:tc>
        <w:tc>
          <w:tcPr>
            <w:tcW w:w="4424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 w14:paraId="4C9EB932">
            <w:pPr>
              <w:widowControl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eastAsia="zh-CN"/>
              </w:rPr>
              <w:t>计算机科学与技术、软件工程、数字媒体技术、信息安全、自动化、电子信息工程、电气工程及其自动化、人工智能、机械设计制造及其自动化、机械电子工程、新能源汽车工程、</w:t>
            </w:r>
          </w:p>
          <w:p w14:paraId="769966C4">
            <w:pPr>
              <w:widowControl/>
              <w:ind w:firstLine="480" w:firstLineChars="200"/>
              <w:rPr>
                <w:rFonts w:hint="default" w:ascii="宋体" w:hAnsi="宋体" w:eastAsia="宋体" w:cs="宋体"/>
                <w:color w:val="auto"/>
                <w:kern w:val="0"/>
                <w:sz w:val="24"/>
                <w:lang w:eastAsia="zh-CN"/>
              </w:rPr>
            </w:pPr>
          </w:p>
        </w:tc>
      </w:tr>
      <w:tr w14:paraId="5878A431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3" w:hRule="atLeast"/>
        </w:trPr>
        <w:tc>
          <w:tcPr>
            <w:tcW w:w="223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 w14:paraId="7C780E83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lang w:eastAsia="zh-CN"/>
              </w:rPr>
              <w:t>物理+不限组</w:t>
            </w:r>
          </w:p>
        </w:tc>
        <w:tc>
          <w:tcPr>
            <w:tcW w:w="186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FFFFFF"/>
            <w:vAlign w:val="center"/>
          </w:tcPr>
          <w:p w14:paraId="2393F0D7"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</w:rPr>
              <w:t>安徽普通本科批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</w:rPr>
              <w:t>江苏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/>
              </w:rPr>
              <w:t>河南</w:t>
            </w:r>
          </w:p>
        </w:tc>
        <w:tc>
          <w:tcPr>
            <w:tcW w:w="4424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 w14:paraId="0CCD4CE6">
            <w:pPr>
              <w:widowControl/>
              <w:rPr>
                <w:rFonts w:hint="default" w:ascii="宋体" w:hAnsi="宋体" w:eastAsia="宋体" w:cs="宋体"/>
                <w:color w:val="auto"/>
                <w:kern w:val="0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eastAsia="zh-CN"/>
              </w:rPr>
              <w:t>智能制造工程、智能科学与技术、机器人工程、通信工程、无人驾驶航空器系统工程、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</w:rPr>
              <w:t>工程造价、风景园林、财务管理、会计学、审计学、电子商务、国际经济与贸易、商务英语</w:t>
            </w:r>
          </w:p>
        </w:tc>
      </w:tr>
      <w:tr w14:paraId="218D789E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7" w:hRule="atLeast"/>
        </w:trPr>
        <w:tc>
          <w:tcPr>
            <w:tcW w:w="223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 w14:paraId="4862F3BE"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lang w:eastAsia="zh-CN"/>
              </w:rPr>
              <w:t>物理+化学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lang w:val="en-US" w:eastAsia="zh-CN"/>
              </w:rPr>
              <w:t>组</w:t>
            </w:r>
          </w:p>
        </w:tc>
        <w:tc>
          <w:tcPr>
            <w:tcW w:w="186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FFFFFF"/>
            <w:vAlign w:val="center"/>
          </w:tcPr>
          <w:p w14:paraId="63C779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8"/>
                <w:szCs w:val="28"/>
              </w:rPr>
            </w:pPr>
          </w:p>
          <w:p w14:paraId="5E028121"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</w:rPr>
              <w:t>安徽普通本科批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/>
              </w:rPr>
              <w:t>河南、四川、陕西、山东</w:t>
            </w:r>
          </w:p>
        </w:tc>
        <w:tc>
          <w:tcPr>
            <w:tcW w:w="4424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 w14:paraId="56F1DE10">
            <w:pPr>
              <w:widowControl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eastAsia="zh-CN"/>
              </w:rPr>
              <w:t>计算机科学与技术、软件工程、数字媒体技术、信息安全、自动化、电子信息工程、电气工程及其自动化、人工智能、机械设计制造及其自动化、机械电子工程、新能源汽车工程、智能制造工程、智能科学与技术、机器人工程、通信工程、无人驾驶航空器系统工程、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</w:rPr>
              <w:t>工程造价、风景园林、财务管理、会计学、审计学、电子商务、国际经济与贸易、商务英语</w:t>
            </w:r>
          </w:p>
        </w:tc>
      </w:tr>
      <w:tr w14:paraId="65807D3B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7" w:hRule="atLeast"/>
        </w:trPr>
        <w:tc>
          <w:tcPr>
            <w:tcW w:w="223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 w14:paraId="13284124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</w:rPr>
              <w:t>舞蹈类</w:t>
            </w:r>
          </w:p>
        </w:tc>
        <w:tc>
          <w:tcPr>
            <w:tcW w:w="186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FFFFFF"/>
            <w:vAlign w:val="center"/>
          </w:tcPr>
          <w:p w14:paraId="2DEE6970">
            <w:pPr>
              <w:widowControl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安徽艺术统考本科批一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</w:rPr>
              <w:t>舞蹈类</w:t>
            </w:r>
          </w:p>
        </w:tc>
        <w:tc>
          <w:tcPr>
            <w:tcW w:w="4424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 w14:paraId="619988F2">
            <w:pPr>
              <w:widowControl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舞蹈表演、舞蹈表演(国际标准舞)。</w:t>
            </w:r>
          </w:p>
        </w:tc>
      </w:tr>
    </w:tbl>
    <w:p w14:paraId="08038820">
      <w:pPr>
        <w:pStyle w:val="2"/>
        <w:spacing w:before="0" w:beforeAutospacing="0" w:after="0" w:afterAutospacing="0" w:line="560" w:lineRule="exact"/>
        <w:rPr>
          <w:rFonts w:hint="eastAsia" w:ascii="楷体" w:hAnsi="楷体" w:eastAsia="楷体" w:cs="楷体"/>
          <w:b/>
          <w:bCs/>
          <w:color w:val="auto"/>
          <w:kern w:val="0"/>
          <w:szCs w:val="32"/>
          <w:shd w:val="clear" w:color="auto" w:fill="FFFFFF"/>
        </w:rPr>
      </w:pPr>
    </w:p>
    <w:sectPr>
      <w:pgSz w:w="11906" w:h="16838"/>
      <w:pgMar w:top="1440" w:right="1701" w:bottom="1440" w:left="1701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8513185F-19E2-4220-90D4-AD0169B523E8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39B21EA5-C85C-4692-99B4-893757378C46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36F21FF9-BA13-408B-9ED0-E5C17604F614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4" w:fontKey="{DF6395AF-14C3-454C-A3EB-98AD0E8C09F8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5" w:fontKey="{99EE2316-0453-4D44-A33A-B68066AD84FE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6" w:fontKey="{22337D89-3755-42A3-9029-0829B124182C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Y4ZjdhZGQwZmM5ZjA4NjM0OWVmMmIyZDIyY2Y4ZWYifQ=="/>
  </w:docVars>
  <w:rsids>
    <w:rsidRoot w:val="00854C5B"/>
    <w:rsid w:val="004D3233"/>
    <w:rsid w:val="00600780"/>
    <w:rsid w:val="00854C5B"/>
    <w:rsid w:val="00C56F50"/>
    <w:rsid w:val="00DC3E26"/>
    <w:rsid w:val="00F456DA"/>
    <w:rsid w:val="0691232C"/>
    <w:rsid w:val="07F57B07"/>
    <w:rsid w:val="09FC64EC"/>
    <w:rsid w:val="0BC1638D"/>
    <w:rsid w:val="0C580AA0"/>
    <w:rsid w:val="0D116A5A"/>
    <w:rsid w:val="0D4234FE"/>
    <w:rsid w:val="0DC932D7"/>
    <w:rsid w:val="0DE17D54"/>
    <w:rsid w:val="121D1E44"/>
    <w:rsid w:val="1356560D"/>
    <w:rsid w:val="15CC565E"/>
    <w:rsid w:val="16D36F75"/>
    <w:rsid w:val="18B023EE"/>
    <w:rsid w:val="1AFA0F74"/>
    <w:rsid w:val="1DE32193"/>
    <w:rsid w:val="20972FDB"/>
    <w:rsid w:val="22230225"/>
    <w:rsid w:val="23BE694D"/>
    <w:rsid w:val="27640C62"/>
    <w:rsid w:val="2900009D"/>
    <w:rsid w:val="2AC60E73"/>
    <w:rsid w:val="2D0A3299"/>
    <w:rsid w:val="2E2E2FB7"/>
    <w:rsid w:val="2E411C03"/>
    <w:rsid w:val="2E784FE8"/>
    <w:rsid w:val="32195D2C"/>
    <w:rsid w:val="34112F8E"/>
    <w:rsid w:val="36914A2B"/>
    <w:rsid w:val="36DF5796"/>
    <w:rsid w:val="37C404E8"/>
    <w:rsid w:val="38F617B1"/>
    <w:rsid w:val="39A40161"/>
    <w:rsid w:val="3A1E0383"/>
    <w:rsid w:val="3A3C4CAD"/>
    <w:rsid w:val="3E0B6E71"/>
    <w:rsid w:val="3E0D0AAE"/>
    <w:rsid w:val="3FF619EC"/>
    <w:rsid w:val="418D1865"/>
    <w:rsid w:val="43F31768"/>
    <w:rsid w:val="46E60A17"/>
    <w:rsid w:val="473F7B8B"/>
    <w:rsid w:val="48AF2AEE"/>
    <w:rsid w:val="495A6EFE"/>
    <w:rsid w:val="4A1933FC"/>
    <w:rsid w:val="4BA6467C"/>
    <w:rsid w:val="4C0A69B9"/>
    <w:rsid w:val="4D812DC4"/>
    <w:rsid w:val="4E2142A9"/>
    <w:rsid w:val="4FF754A7"/>
    <w:rsid w:val="4FFE18CB"/>
    <w:rsid w:val="537B63EF"/>
    <w:rsid w:val="538057B3"/>
    <w:rsid w:val="56757125"/>
    <w:rsid w:val="59435C6C"/>
    <w:rsid w:val="5C5A6038"/>
    <w:rsid w:val="5C6D450C"/>
    <w:rsid w:val="5F6E6E08"/>
    <w:rsid w:val="603F3EAD"/>
    <w:rsid w:val="60C5227B"/>
    <w:rsid w:val="60F4333C"/>
    <w:rsid w:val="613F0A5C"/>
    <w:rsid w:val="62ED49F8"/>
    <w:rsid w:val="63314B6B"/>
    <w:rsid w:val="63C56E66"/>
    <w:rsid w:val="6477050C"/>
    <w:rsid w:val="65393A14"/>
    <w:rsid w:val="67073DC9"/>
    <w:rsid w:val="671571E5"/>
    <w:rsid w:val="69D14C6A"/>
    <w:rsid w:val="6CA67BE1"/>
    <w:rsid w:val="6D401DE3"/>
    <w:rsid w:val="6D6830E8"/>
    <w:rsid w:val="6E992944"/>
    <w:rsid w:val="724312D0"/>
    <w:rsid w:val="745A5E80"/>
    <w:rsid w:val="75587EE6"/>
    <w:rsid w:val="75610B49"/>
    <w:rsid w:val="77095046"/>
    <w:rsid w:val="785553CC"/>
    <w:rsid w:val="7DF53198"/>
    <w:rsid w:val="7E455CCF"/>
    <w:rsid w:val="7E9A331D"/>
    <w:rsid w:val="BFF6AB35"/>
    <w:rsid w:val="F7FF242F"/>
    <w:rsid w:val="FDDF929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方正仿宋_GB2312" w:asciiTheme="minorHAnsi" w:hAnsiTheme="minorHAnsi" w:cstheme="minorBidi"/>
      <w:kern w:val="2"/>
      <w:sz w:val="32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630</Words>
  <Characters>633</Characters>
  <TotalTime>1</TotalTime>
  <ScaleCrop>false</ScaleCrop>
  <LinksUpToDate>false</LinksUpToDate>
  <CharactersWithSpaces>645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2026-08-17T06:37:00Z</dcterms:created>
  <dc:creator>Administrator</dc:creator>
  <cp:lastModifiedBy>钟</cp:lastModifiedBy>
  <dcterms:modified xsi:type="dcterms:W3CDTF">2026-08-17T13:46:24Z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eyJoZGlkIjoiZjJkYmIzOGQ0YTNhOWM0NDgwMDg4Y2U2NzJjMGE3ZWYiLCJ1c2VySWQiOiI2MTM3MTUyODIifQ==</vt:lpwstr>
  </property>
  <property fmtid="{D5CDD505-2E9C-101B-9397-08002B2CF9AE}" pid="3" name="KSOProductBuildVer">
    <vt:lpwstr>2052-12.1.0.28043</vt:lpwstr>
  </property>
  <property fmtid="{D5CDD505-2E9C-101B-9397-08002B2CF9AE}" pid="4" name="ICV">
    <vt:lpwstr>DB1ACC4094264E4D9234481264B39BA8_13</vt:lpwstr>
  </property>
</Properties>
</file>