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0"/>
        </w:tabs>
        <w:spacing w:line="1700" w:lineRule="exact"/>
        <w:jc w:val="center"/>
        <w:rPr>
          <w:rFonts w:ascii="Arial Black" w:hAnsi="Arial Black" w:eastAsia="黑体"/>
          <w:b/>
          <w:sz w:val="84"/>
          <w:szCs w:val="84"/>
        </w:rPr>
      </w:pPr>
      <w:r>
        <w:rPr>
          <w:rFonts w:hint="eastAsia" w:ascii="Arial Black" w:hAnsi="Arial Black" w:eastAsia="黑体"/>
          <w:b/>
          <w:bCs/>
          <w:sz w:val="84"/>
          <w:szCs w:val="84"/>
        </w:rPr>
        <w:t>安徽文达信息工程学院</w:t>
      </w:r>
    </w:p>
    <w:p>
      <w:pPr>
        <w:tabs>
          <w:tab w:val="left" w:pos="315"/>
          <w:tab w:val="left" w:pos="8820"/>
        </w:tabs>
        <w:spacing w:line="500" w:lineRule="exact"/>
        <w:ind w:right="267" w:rightChars="127"/>
        <w:jc w:val="center"/>
        <w:rPr>
          <w:rFonts w:ascii="仿宋_GB2312" w:eastAsia="仿宋_GB2312"/>
          <w:b/>
          <w:bCs/>
          <w:sz w:val="48"/>
        </w:rPr>
      </w:pPr>
    </w:p>
    <w:p>
      <w:pPr>
        <w:tabs>
          <w:tab w:val="left" w:pos="315"/>
          <w:tab w:val="left" w:pos="8820"/>
        </w:tabs>
        <w:spacing w:line="800" w:lineRule="exact"/>
        <w:ind w:right="267" w:rightChars="127"/>
        <w:jc w:val="center"/>
        <w:rPr>
          <w:rFonts w:ascii="微软简标宋" w:eastAsia="黑体"/>
          <w:b/>
          <w:bCs/>
          <w:sz w:val="72"/>
          <w:szCs w:val="72"/>
        </w:rPr>
      </w:pPr>
      <w:r>
        <w:rPr>
          <w:rFonts w:hint="eastAsia" w:ascii="微软简标宋" w:eastAsia="黑体"/>
          <w:b/>
          <w:bCs/>
          <w:sz w:val="52"/>
        </w:rPr>
        <w:t xml:space="preserve"> </w:t>
      </w:r>
      <w:r>
        <w:rPr>
          <w:rFonts w:hint="eastAsia" w:ascii="微软简标宋" w:eastAsia="黑体"/>
          <w:b/>
          <w:bCs/>
          <w:sz w:val="72"/>
          <w:szCs w:val="72"/>
        </w:rPr>
        <w:t>招</w:t>
      </w:r>
    </w:p>
    <w:p>
      <w:pPr>
        <w:tabs>
          <w:tab w:val="left" w:pos="315"/>
          <w:tab w:val="left" w:pos="8820"/>
        </w:tabs>
        <w:spacing w:line="800" w:lineRule="exact"/>
        <w:ind w:right="267" w:rightChars="127"/>
        <w:jc w:val="center"/>
        <w:rPr>
          <w:rFonts w:ascii="微软简标宋" w:eastAsia="黑体"/>
          <w:b/>
          <w:bCs/>
          <w:sz w:val="72"/>
          <w:szCs w:val="72"/>
        </w:rPr>
      </w:pPr>
    </w:p>
    <w:p>
      <w:pPr>
        <w:tabs>
          <w:tab w:val="left" w:pos="315"/>
          <w:tab w:val="left" w:pos="8820"/>
        </w:tabs>
        <w:spacing w:line="800" w:lineRule="exact"/>
        <w:ind w:right="267" w:rightChars="127"/>
        <w:jc w:val="center"/>
        <w:rPr>
          <w:rFonts w:ascii="微软简标宋" w:eastAsia="黑体"/>
          <w:b/>
          <w:bCs/>
          <w:sz w:val="72"/>
          <w:szCs w:val="72"/>
        </w:rPr>
      </w:pPr>
    </w:p>
    <w:p>
      <w:pPr>
        <w:tabs>
          <w:tab w:val="left" w:pos="315"/>
          <w:tab w:val="left" w:pos="8820"/>
        </w:tabs>
        <w:spacing w:line="800" w:lineRule="exact"/>
        <w:ind w:right="267" w:rightChars="127"/>
        <w:jc w:val="center"/>
        <w:rPr>
          <w:rFonts w:ascii="微软简标宋" w:eastAsia="黑体"/>
          <w:b/>
          <w:bCs/>
          <w:sz w:val="72"/>
          <w:szCs w:val="72"/>
        </w:rPr>
      </w:pPr>
      <w:r>
        <w:rPr>
          <w:rFonts w:hint="eastAsia" w:ascii="微软简标宋" w:eastAsia="黑体"/>
          <w:b/>
          <w:bCs/>
          <w:sz w:val="72"/>
          <w:szCs w:val="72"/>
        </w:rPr>
        <w:t xml:space="preserve"> 标</w:t>
      </w:r>
    </w:p>
    <w:p>
      <w:pPr>
        <w:tabs>
          <w:tab w:val="left" w:pos="315"/>
          <w:tab w:val="left" w:pos="8820"/>
        </w:tabs>
        <w:spacing w:line="800" w:lineRule="exact"/>
        <w:ind w:right="267" w:rightChars="127"/>
        <w:jc w:val="center"/>
        <w:rPr>
          <w:rFonts w:ascii="微软简标宋" w:eastAsia="黑体"/>
          <w:b/>
          <w:bCs/>
          <w:sz w:val="72"/>
          <w:szCs w:val="72"/>
        </w:rPr>
      </w:pPr>
    </w:p>
    <w:p>
      <w:pPr>
        <w:tabs>
          <w:tab w:val="left" w:pos="315"/>
          <w:tab w:val="left" w:pos="8820"/>
        </w:tabs>
        <w:spacing w:line="800" w:lineRule="exact"/>
        <w:ind w:right="267" w:rightChars="127"/>
        <w:jc w:val="center"/>
        <w:rPr>
          <w:rFonts w:ascii="微软简标宋" w:eastAsia="黑体"/>
          <w:b/>
          <w:bCs/>
          <w:sz w:val="72"/>
          <w:szCs w:val="72"/>
        </w:rPr>
      </w:pPr>
    </w:p>
    <w:p>
      <w:pPr>
        <w:tabs>
          <w:tab w:val="left" w:pos="315"/>
          <w:tab w:val="left" w:pos="8820"/>
        </w:tabs>
        <w:spacing w:line="800" w:lineRule="exact"/>
        <w:ind w:right="267" w:rightChars="127"/>
        <w:jc w:val="center"/>
        <w:rPr>
          <w:rFonts w:ascii="微软简标宋" w:eastAsia="黑体"/>
          <w:b/>
          <w:bCs/>
          <w:sz w:val="72"/>
          <w:szCs w:val="72"/>
        </w:rPr>
      </w:pPr>
      <w:r>
        <w:rPr>
          <w:rFonts w:hint="eastAsia" w:ascii="微软简标宋" w:eastAsia="黑体"/>
          <w:b/>
          <w:bCs/>
          <w:sz w:val="72"/>
          <w:szCs w:val="72"/>
        </w:rPr>
        <w:t xml:space="preserve"> 文</w:t>
      </w:r>
    </w:p>
    <w:p>
      <w:pPr>
        <w:tabs>
          <w:tab w:val="left" w:pos="315"/>
          <w:tab w:val="left" w:pos="8820"/>
        </w:tabs>
        <w:spacing w:line="800" w:lineRule="exact"/>
        <w:ind w:right="267" w:rightChars="127"/>
        <w:jc w:val="center"/>
        <w:rPr>
          <w:rFonts w:ascii="微软简标宋" w:eastAsia="黑体"/>
          <w:b/>
          <w:bCs/>
          <w:sz w:val="72"/>
          <w:szCs w:val="72"/>
        </w:rPr>
      </w:pPr>
    </w:p>
    <w:p>
      <w:pPr>
        <w:tabs>
          <w:tab w:val="left" w:pos="315"/>
          <w:tab w:val="left" w:pos="8820"/>
        </w:tabs>
        <w:spacing w:line="800" w:lineRule="exact"/>
        <w:ind w:right="267" w:rightChars="127"/>
        <w:jc w:val="center"/>
        <w:rPr>
          <w:rFonts w:ascii="微软简标宋" w:eastAsia="黑体"/>
          <w:b/>
          <w:bCs/>
          <w:sz w:val="72"/>
          <w:szCs w:val="72"/>
        </w:rPr>
      </w:pPr>
      <w:r>
        <w:rPr>
          <w:rFonts w:hint="eastAsia" w:ascii="微软简标宋" w:eastAsia="黑体"/>
          <w:b/>
          <w:bCs/>
          <w:sz w:val="72"/>
          <w:szCs w:val="72"/>
        </w:rPr>
        <w:t xml:space="preserve"> </w:t>
      </w:r>
    </w:p>
    <w:p>
      <w:pPr>
        <w:tabs>
          <w:tab w:val="left" w:pos="315"/>
          <w:tab w:val="left" w:pos="8820"/>
        </w:tabs>
        <w:spacing w:line="800" w:lineRule="exact"/>
        <w:ind w:right="267" w:rightChars="127"/>
        <w:jc w:val="center"/>
        <w:rPr>
          <w:rFonts w:ascii="微软简标宋" w:eastAsia="黑体"/>
          <w:b/>
          <w:bCs/>
          <w:sz w:val="72"/>
          <w:szCs w:val="72"/>
        </w:rPr>
      </w:pPr>
      <w:r>
        <w:rPr>
          <w:rFonts w:hint="eastAsia" w:ascii="微软简标宋" w:eastAsia="黑体"/>
          <w:b/>
          <w:bCs/>
          <w:sz w:val="72"/>
          <w:szCs w:val="72"/>
        </w:rPr>
        <w:t xml:space="preserve"> 件</w:t>
      </w:r>
    </w:p>
    <w:p>
      <w:pPr>
        <w:tabs>
          <w:tab w:val="left" w:pos="315"/>
          <w:tab w:val="left" w:pos="8820"/>
        </w:tabs>
        <w:spacing w:line="500" w:lineRule="exact"/>
        <w:ind w:right="267" w:rightChars="127"/>
        <w:jc w:val="center"/>
        <w:rPr>
          <w:rFonts w:ascii="微软简标宋" w:eastAsia="黑体"/>
          <w:b/>
          <w:bCs/>
          <w:sz w:val="52"/>
        </w:rPr>
      </w:pPr>
    </w:p>
    <w:p>
      <w:pPr>
        <w:tabs>
          <w:tab w:val="left" w:pos="315"/>
          <w:tab w:val="left" w:pos="8820"/>
        </w:tabs>
        <w:spacing w:line="500" w:lineRule="exact"/>
        <w:ind w:right="267" w:rightChars="127"/>
        <w:jc w:val="center"/>
        <w:rPr>
          <w:rFonts w:ascii="微软简标宋" w:eastAsia="黑体"/>
          <w:b/>
          <w:bCs/>
          <w:sz w:val="52"/>
        </w:rPr>
      </w:pPr>
    </w:p>
    <w:p>
      <w:pPr>
        <w:tabs>
          <w:tab w:val="left" w:pos="420"/>
        </w:tabs>
        <w:spacing w:before="100" w:beforeAutospacing="1" w:after="100" w:afterAutospacing="1" w:line="460" w:lineRule="exact"/>
        <w:ind w:firstLine="2393" w:firstLineChars="745"/>
        <w:rPr>
          <w:rFonts w:hint="eastAsia" w:ascii="宋体" w:hAnsi="宋体"/>
          <w:b/>
          <w:sz w:val="32"/>
          <w:szCs w:val="20"/>
        </w:rPr>
      </w:pPr>
      <w:r>
        <w:rPr>
          <w:rFonts w:hint="eastAsia" w:ascii="宋体" w:hAnsi="宋体"/>
          <w:b/>
          <w:sz w:val="32"/>
          <w:szCs w:val="20"/>
        </w:rPr>
        <w:t>项目名称: 长庚楼</w:t>
      </w:r>
      <w:r>
        <w:rPr>
          <w:rFonts w:hint="eastAsia" w:ascii="宋体" w:hAnsi="宋体"/>
          <w:b/>
          <w:sz w:val="32"/>
          <w:szCs w:val="20"/>
          <w:lang w:val="en-US" w:eastAsia="zh-CN"/>
        </w:rPr>
        <w:t>教室</w:t>
      </w:r>
      <w:r>
        <w:rPr>
          <w:rFonts w:hint="eastAsia" w:ascii="宋体" w:hAnsi="宋体"/>
          <w:b/>
          <w:sz w:val="32"/>
          <w:szCs w:val="20"/>
        </w:rPr>
        <w:t>监控</w:t>
      </w:r>
    </w:p>
    <w:p>
      <w:pPr>
        <w:tabs>
          <w:tab w:val="left" w:pos="420"/>
        </w:tabs>
        <w:spacing w:before="100" w:beforeAutospacing="1" w:after="100" w:afterAutospacing="1" w:line="460" w:lineRule="exact"/>
        <w:ind w:firstLine="2393" w:firstLineChars="745"/>
        <w:rPr>
          <w:rFonts w:ascii="宋体" w:hAnsi="宋体"/>
          <w:b/>
          <w:sz w:val="32"/>
          <w:szCs w:val="20"/>
        </w:rPr>
      </w:pPr>
      <w:r>
        <w:rPr>
          <w:rFonts w:hint="eastAsia" w:ascii="宋体" w:hAnsi="宋体"/>
          <w:b/>
          <w:sz w:val="32"/>
          <w:szCs w:val="20"/>
        </w:rPr>
        <w:t>采购单位：安徽文达信息工程学院</w:t>
      </w:r>
    </w:p>
    <w:p>
      <w:pPr>
        <w:spacing w:before="100" w:beforeAutospacing="1" w:after="100" w:afterAutospacing="1" w:line="460" w:lineRule="exact"/>
        <w:ind w:firstLine="2393" w:firstLineChars="745"/>
        <w:rPr>
          <w:rFonts w:ascii="宋体" w:hAnsi="宋体"/>
          <w:b/>
          <w:sz w:val="32"/>
          <w:szCs w:val="20"/>
        </w:rPr>
      </w:pPr>
      <w:r>
        <w:rPr>
          <w:rFonts w:hint="eastAsia" w:ascii="宋体" w:hAnsi="宋体"/>
          <w:b/>
          <w:sz w:val="32"/>
          <w:szCs w:val="20"/>
        </w:rPr>
        <w:t>日    期：202</w:t>
      </w:r>
      <w:r>
        <w:rPr>
          <w:rFonts w:hint="eastAsia" w:ascii="宋体" w:hAnsi="宋体"/>
          <w:b/>
          <w:sz w:val="32"/>
          <w:szCs w:val="20"/>
          <w:lang w:val="en-US" w:eastAsia="zh-CN"/>
        </w:rPr>
        <w:t>3</w:t>
      </w:r>
      <w:r>
        <w:rPr>
          <w:rFonts w:hint="eastAsia" w:ascii="宋体" w:hAnsi="宋体"/>
          <w:b/>
          <w:sz w:val="32"/>
          <w:szCs w:val="20"/>
        </w:rPr>
        <w:t>年</w:t>
      </w:r>
      <w:r>
        <w:rPr>
          <w:rFonts w:hint="eastAsia" w:ascii="宋体" w:hAnsi="宋体"/>
          <w:b/>
          <w:sz w:val="32"/>
          <w:szCs w:val="20"/>
          <w:lang w:val="en-US" w:eastAsia="zh-CN"/>
        </w:rPr>
        <w:t xml:space="preserve">5 </w:t>
      </w:r>
      <w:r>
        <w:rPr>
          <w:rFonts w:hint="eastAsia" w:ascii="宋体" w:hAnsi="宋体"/>
          <w:b/>
          <w:sz w:val="32"/>
          <w:szCs w:val="20"/>
        </w:rPr>
        <w:t>月</w:t>
      </w:r>
      <w:r>
        <w:rPr>
          <w:rFonts w:hint="eastAsia" w:ascii="宋体" w:hAnsi="宋体"/>
          <w:b/>
          <w:sz w:val="32"/>
          <w:szCs w:val="20"/>
          <w:lang w:val="en-US" w:eastAsia="zh-CN"/>
        </w:rPr>
        <w:t>10</w:t>
      </w:r>
      <w:r>
        <w:rPr>
          <w:rFonts w:hint="eastAsia" w:ascii="宋体" w:hAnsi="宋体"/>
          <w:b/>
          <w:sz w:val="32"/>
          <w:szCs w:val="20"/>
        </w:rPr>
        <w:t>日</w:t>
      </w:r>
    </w:p>
    <w:p>
      <w:pPr>
        <w:spacing w:line="480" w:lineRule="auto"/>
        <w:ind w:firstLine="3694" w:firstLineChars="1150"/>
        <w:rPr>
          <w:rFonts w:hint="default" w:ascii="仿宋_GB2312" w:hAnsi="宋体" w:eastAsia="仿宋_GB2312"/>
          <w:b/>
          <w:bCs/>
          <w:sz w:val="32"/>
          <w:szCs w:val="32"/>
          <w:lang w:val="en-US" w:eastAsia="zh-CN"/>
        </w:rPr>
        <w:sectPr>
          <w:headerReference r:id="rId3" w:type="default"/>
          <w:pgSz w:w="11907" w:h="16840"/>
          <w:pgMar w:top="907" w:right="1134" w:bottom="907" w:left="1134" w:header="794" w:footer="794" w:gutter="0"/>
          <w:pgNumType w:start="1"/>
          <w:cols w:space="720" w:num="1"/>
        </w:sectPr>
      </w:pPr>
    </w:p>
    <w:p>
      <w:pPr>
        <w:pageBreakBefore w:val="0"/>
        <w:widowControl/>
        <w:wordWrap/>
        <w:topLinePunct w:val="0"/>
        <w:bidi w:val="0"/>
        <w:spacing w:line="320" w:lineRule="exact"/>
        <w:ind w:firstLine="4216" w:firstLineChars="1400"/>
        <w:textAlignment w:val="auto"/>
        <w:rPr>
          <w:rFonts w:ascii="宋体" w:hAnsi="宋体" w:cs="宋体"/>
          <w:kern w:val="0"/>
        </w:rPr>
      </w:pPr>
      <w:r>
        <w:rPr>
          <w:rFonts w:hint="eastAsia" w:ascii="宋体" w:hAnsi="宋体"/>
          <w:b/>
          <w:bCs/>
          <w:kern w:val="44"/>
          <w:sz w:val="30"/>
          <w:szCs w:val="30"/>
        </w:rPr>
        <w:t>招标公告</w:t>
      </w:r>
    </w:p>
    <w:p>
      <w:pPr>
        <w:keepNext/>
        <w:keepLines/>
        <w:pageBreakBefore w:val="0"/>
        <w:wordWrap/>
        <w:topLinePunct w:val="0"/>
        <w:bidi w:val="0"/>
        <w:spacing w:line="320" w:lineRule="exact"/>
        <w:textAlignment w:val="auto"/>
        <w:outlineLvl w:val="0"/>
        <w:rPr>
          <w:rFonts w:ascii="宋体" w:hAnsi="宋体"/>
          <w:b/>
          <w:bCs/>
          <w:caps/>
          <w:sz w:val="24"/>
        </w:rPr>
      </w:pPr>
      <w:r>
        <w:rPr>
          <w:rFonts w:hint="eastAsia" w:ascii="宋体" w:hAnsi="宋体" w:cs="宋体"/>
          <w:b/>
          <w:bCs/>
          <w:kern w:val="44"/>
          <w:sz w:val="24"/>
        </w:rPr>
        <w:t>一、项目名称及内容</w:t>
      </w:r>
    </w:p>
    <w:p>
      <w:pPr>
        <w:pageBreakBefore w:val="0"/>
        <w:wordWrap/>
        <w:topLinePunct w:val="0"/>
        <w:autoSpaceDE w:val="0"/>
        <w:autoSpaceDN w:val="0"/>
        <w:bidi w:val="0"/>
        <w:adjustRightInd w:val="0"/>
        <w:spacing w:line="320" w:lineRule="exact"/>
        <w:ind w:firstLine="360" w:firstLineChars="150"/>
        <w:jc w:val="left"/>
        <w:textAlignment w:val="auto"/>
        <w:rPr>
          <w:rFonts w:hint="eastAsia" w:ascii="宋体" w:hAnsi="宋体" w:cs="宋体"/>
          <w:sz w:val="24"/>
        </w:rPr>
      </w:pPr>
      <w:r>
        <w:rPr>
          <w:rFonts w:hint="eastAsia" w:ascii="宋体" w:hAnsi="宋体" w:cs="宋体"/>
          <w:sz w:val="24"/>
        </w:rPr>
        <w:t>1、项目名称：</w:t>
      </w:r>
      <w:r>
        <w:rPr>
          <w:rFonts w:hint="eastAsia" w:ascii="宋体" w:hAnsi="宋体"/>
          <w:kern w:val="0"/>
          <w:sz w:val="24"/>
        </w:rPr>
        <w:t>长庚楼</w:t>
      </w:r>
      <w:r>
        <w:rPr>
          <w:rFonts w:hint="eastAsia" w:ascii="宋体" w:hAnsi="宋体"/>
          <w:kern w:val="0"/>
          <w:sz w:val="24"/>
          <w:lang w:val="en-US" w:eastAsia="zh-CN"/>
        </w:rPr>
        <w:t>教室</w:t>
      </w:r>
      <w:r>
        <w:rPr>
          <w:rFonts w:hint="eastAsia" w:ascii="宋体" w:hAnsi="宋体"/>
          <w:kern w:val="0"/>
          <w:sz w:val="24"/>
        </w:rPr>
        <w:t>监控</w:t>
      </w:r>
    </w:p>
    <w:p>
      <w:pPr>
        <w:pageBreakBefore w:val="0"/>
        <w:wordWrap/>
        <w:topLinePunct w:val="0"/>
        <w:autoSpaceDE w:val="0"/>
        <w:autoSpaceDN w:val="0"/>
        <w:bidi w:val="0"/>
        <w:adjustRightInd w:val="0"/>
        <w:spacing w:line="320" w:lineRule="exact"/>
        <w:ind w:firstLine="360" w:firstLineChars="150"/>
        <w:jc w:val="left"/>
        <w:textAlignment w:val="auto"/>
        <w:rPr>
          <w:rFonts w:hint="eastAsia" w:ascii="宋体" w:hAnsi="宋体" w:eastAsia="宋体" w:cs="宋体"/>
          <w:sz w:val="24"/>
          <w:lang w:val="en-US" w:eastAsia="zh-CN"/>
        </w:rPr>
      </w:pPr>
      <w:r>
        <w:rPr>
          <w:rFonts w:hint="eastAsia" w:ascii="宋体" w:hAnsi="宋体" w:cs="宋体"/>
          <w:sz w:val="24"/>
        </w:rPr>
        <w:t>2、项目地点：</w:t>
      </w:r>
      <w:r>
        <w:rPr>
          <w:rFonts w:hint="eastAsia" w:ascii="宋体" w:hAnsi="宋体" w:cs="宋体"/>
          <w:sz w:val="24"/>
          <w:lang w:val="en-US" w:eastAsia="zh-CN"/>
        </w:rPr>
        <w:t>长庚楼</w:t>
      </w:r>
    </w:p>
    <w:p>
      <w:pPr>
        <w:pageBreakBefore w:val="0"/>
        <w:wordWrap/>
        <w:topLinePunct w:val="0"/>
        <w:autoSpaceDE w:val="0"/>
        <w:autoSpaceDN w:val="0"/>
        <w:bidi w:val="0"/>
        <w:adjustRightInd w:val="0"/>
        <w:spacing w:line="320" w:lineRule="exact"/>
        <w:ind w:firstLine="360" w:firstLineChars="150"/>
        <w:jc w:val="left"/>
        <w:textAlignment w:val="auto"/>
        <w:rPr>
          <w:rFonts w:hint="eastAsia" w:ascii="宋体" w:hAnsi="宋体" w:eastAsia="宋体" w:cs="宋体"/>
          <w:sz w:val="24"/>
          <w:lang w:val="en-US" w:eastAsia="zh-CN"/>
        </w:rPr>
      </w:pPr>
      <w:r>
        <w:rPr>
          <w:rFonts w:hint="eastAsia" w:ascii="宋体" w:hAnsi="宋体" w:cs="宋体"/>
          <w:sz w:val="24"/>
        </w:rPr>
        <w:t>3、项目单位：</w:t>
      </w:r>
      <w:r>
        <w:rPr>
          <w:rFonts w:hint="eastAsia" w:ascii="宋体" w:hAnsi="宋体" w:cs="宋体"/>
          <w:sz w:val="24"/>
          <w:lang w:val="en-US" w:eastAsia="zh-CN"/>
        </w:rPr>
        <w:t>教务处</w:t>
      </w:r>
    </w:p>
    <w:p>
      <w:pPr>
        <w:pageBreakBefore w:val="0"/>
        <w:wordWrap/>
        <w:topLinePunct w:val="0"/>
        <w:autoSpaceDE w:val="0"/>
        <w:autoSpaceDN w:val="0"/>
        <w:bidi w:val="0"/>
        <w:adjustRightInd w:val="0"/>
        <w:spacing w:line="320" w:lineRule="exact"/>
        <w:ind w:firstLine="360" w:firstLineChars="150"/>
        <w:jc w:val="left"/>
        <w:textAlignment w:val="auto"/>
        <w:rPr>
          <w:rFonts w:hint="default" w:ascii="宋体" w:hAnsi="宋体" w:eastAsia="宋体" w:cs="宋体"/>
          <w:sz w:val="24"/>
          <w:lang w:val="en-US" w:eastAsia="zh-CN"/>
        </w:rPr>
      </w:pPr>
      <w:r>
        <w:rPr>
          <w:rFonts w:hint="eastAsia" w:ascii="宋体" w:hAnsi="宋体" w:cs="宋体"/>
          <w:sz w:val="24"/>
        </w:rPr>
        <w:t>4、项目概况：</w:t>
      </w:r>
      <w:r>
        <w:rPr>
          <w:rStyle w:val="11"/>
          <w:rFonts w:hint="eastAsia" w:ascii="宋体" w:hAnsi="宋体" w:eastAsia="宋体" w:cs="宋体"/>
          <w:sz w:val="24"/>
          <w:szCs w:val="24"/>
        </w:rPr>
        <w:t>监控摄像头400W</w:t>
      </w:r>
      <w:r>
        <w:rPr>
          <w:rStyle w:val="11"/>
          <w:rFonts w:hint="eastAsia" w:ascii="宋体" w:hAnsi="宋体" w:eastAsia="宋体" w:cs="宋体"/>
          <w:sz w:val="24"/>
          <w:szCs w:val="24"/>
          <w:lang w:eastAsia="zh-CN"/>
        </w:rPr>
        <w:t>、</w:t>
      </w:r>
      <w:r>
        <w:rPr>
          <w:rStyle w:val="11"/>
          <w:rFonts w:hint="eastAsia" w:ascii="宋体" w:hAnsi="宋体" w:eastAsia="宋体" w:cs="宋体"/>
          <w:sz w:val="24"/>
          <w:szCs w:val="24"/>
        </w:rPr>
        <w:t>64路录像机</w:t>
      </w:r>
      <w:r>
        <w:rPr>
          <w:rStyle w:val="11"/>
          <w:rFonts w:hint="eastAsia" w:ascii="宋体" w:hAnsi="宋体" w:eastAsia="宋体" w:cs="宋体"/>
          <w:sz w:val="24"/>
          <w:szCs w:val="24"/>
          <w:lang w:eastAsia="zh-CN"/>
        </w:rPr>
        <w:t>、</w:t>
      </w:r>
      <w:r>
        <w:rPr>
          <w:rStyle w:val="11"/>
          <w:rFonts w:hint="eastAsia" w:ascii="宋体" w:hAnsi="宋体" w:eastAsia="宋体" w:cs="宋体"/>
          <w:sz w:val="24"/>
          <w:szCs w:val="24"/>
          <w:lang w:val="en-US" w:eastAsia="zh-CN"/>
        </w:rPr>
        <w:t>交换机、六类网线等</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5、资金来源：自筹</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6、项目预算：</w:t>
      </w:r>
    </w:p>
    <w:p>
      <w:pPr>
        <w:pageBreakBefore w:val="0"/>
        <w:wordWrap/>
        <w:topLinePunct w:val="0"/>
        <w:autoSpaceDE w:val="0"/>
        <w:autoSpaceDN w:val="0"/>
        <w:bidi w:val="0"/>
        <w:adjustRightInd w:val="0"/>
        <w:spacing w:line="320" w:lineRule="exact"/>
        <w:ind w:firstLine="360" w:firstLineChars="150"/>
        <w:jc w:val="left"/>
        <w:textAlignment w:val="auto"/>
        <w:rPr>
          <w:rFonts w:hint="eastAsia" w:ascii="宋体" w:hAnsi="宋体" w:eastAsia="宋体" w:cs="宋体"/>
          <w:sz w:val="24"/>
          <w:lang w:val="en-US" w:eastAsia="zh-CN"/>
        </w:rPr>
      </w:pPr>
      <w:r>
        <w:rPr>
          <w:rFonts w:hint="eastAsia" w:ascii="宋体" w:hAnsi="宋体" w:cs="宋体"/>
          <w:sz w:val="24"/>
        </w:rPr>
        <w:t>7、项目类别：</w:t>
      </w:r>
      <w:r>
        <w:rPr>
          <w:rFonts w:hint="eastAsia" w:ascii="宋体" w:hAnsi="宋体" w:cs="宋体"/>
          <w:sz w:val="24"/>
          <w:lang w:val="en-US" w:eastAsia="zh-CN"/>
        </w:rPr>
        <w:t>硬件</w:t>
      </w:r>
    </w:p>
    <w:p>
      <w:pPr>
        <w:pageBreakBefore w:val="0"/>
        <w:wordWrap/>
        <w:topLinePunct w:val="0"/>
        <w:autoSpaceDE w:val="0"/>
        <w:autoSpaceDN w:val="0"/>
        <w:bidi w:val="0"/>
        <w:adjustRightInd w:val="0"/>
        <w:spacing w:line="320" w:lineRule="exact"/>
        <w:jc w:val="left"/>
        <w:textAlignment w:val="auto"/>
        <w:rPr>
          <w:rFonts w:ascii="宋体" w:hAnsi="宋体" w:cs="宋体"/>
          <w:sz w:val="24"/>
        </w:rPr>
      </w:pPr>
      <w:r>
        <w:rPr>
          <w:rFonts w:hint="eastAsia" w:ascii="宋体" w:hAnsi="宋体" w:cs="宋体"/>
          <w:b/>
          <w:bCs/>
          <w:sz w:val="24"/>
        </w:rPr>
        <w:t>二、投标人资格及要求</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1、投标人须符合《中华人民共和国政府采购法》的规定条件；</w:t>
      </w:r>
    </w:p>
    <w:p>
      <w:pPr>
        <w:pageBreakBefore w:val="0"/>
        <w:wordWrap/>
        <w:topLinePunct w:val="0"/>
        <w:bidi w:val="0"/>
        <w:spacing w:line="320" w:lineRule="exact"/>
        <w:ind w:firstLine="360" w:firstLineChars="150"/>
        <w:textAlignment w:val="auto"/>
        <w:rPr>
          <w:sz w:val="24"/>
        </w:rPr>
      </w:pPr>
      <w:r>
        <w:rPr>
          <w:rFonts w:hint="eastAsia" w:ascii="宋体" w:hAnsi="宋体"/>
          <w:sz w:val="24"/>
        </w:rPr>
        <w:t>2、注册于中华人民共和国境内，具有独立承担民事责任的法人或其他组织；</w:t>
      </w:r>
    </w:p>
    <w:p>
      <w:pPr>
        <w:pageBreakBefore w:val="0"/>
        <w:wordWrap/>
        <w:topLinePunct w:val="0"/>
        <w:bidi w:val="0"/>
        <w:spacing w:line="320" w:lineRule="exact"/>
        <w:ind w:firstLine="360" w:firstLineChars="150"/>
        <w:textAlignment w:val="auto"/>
        <w:rPr>
          <w:rFonts w:ascii="Calibri" w:hAnsi="Calibri"/>
          <w:sz w:val="24"/>
        </w:rPr>
      </w:pPr>
      <w:r>
        <w:rPr>
          <w:rFonts w:hint="eastAsia" w:ascii="宋体" w:hAnsi="宋体"/>
          <w:sz w:val="24"/>
        </w:rPr>
        <w:t>3、具有良好的商业信誉和健全的财务会计制度，经营活动中没有违法记录；</w:t>
      </w:r>
    </w:p>
    <w:p>
      <w:pPr>
        <w:pageBreakBefore w:val="0"/>
        <w:widowControl/>
        <w:wordWrap/>
        <w:topLinePunct w:val="0"/>
        <w:bidi w:val="0"/>
        <w:snapToGrid w:val="0"/>
        <w:spacing w:line="320" w:lineRule="exact"/>
        <w:ind w:firstLine="360" w:firstLineChars="150"/>
        <w:textAlignment w:val="auto"/>
        <w:rPr>
          <w:rFonts w:ascii="宋体" w:hAnsi="宋体" w:cs="宋体"/>
          <w:sz w:val="24"/>
        </w:rPr>
      </w:pPr>
      <w:r>
        <w:rPr>
          <w:rFonts w:hint="eastAsia" w:ascii="宋体" w:hAnsi="宋体" w:cs="宋体"/>
          <w:sz w:val="24"/>
        </w:rPr>
        <w:t>4、</w:t>
      </w:r>
      <w:r>
        <w:rPr>
          <w:rFonts w:hint="eastAsia" w:ascii="宋体" w:hAnsi="宋体"/>
          <w:kern w:val="0"/>
          <w:sz w:val="24"/>
        </w:rPr>
        <w:t>投标人具有独立法人资格</w:t>
      </w:r>
      <w:r>
        <w:rPr>
          <w:rFonts w:hint="eastAsia" w:ascii="宋体" w:hAnsi="宋体" w:cs="宋体"/>
          <w:sz w:val="24"/>
        </w:rPr>
        <w:t>，有能力提供招标货物及服务的国内代理商或制造商，具有有效的营业执照、组织机构代码证、税务登记证（三证合一的可仅提供营业执照）；</w:t>
      </w:r>
    </w:p>
    <w:p>
      <w:pPr>
        <w:pageBreakBefore w:val="0"/>
        <w:widowControl/>
        <w:wordWrap/>
        <w:topLinePunct w:val="0"/>
        <w:bidi w:val="0"/>
        <w:snapToGrid w:val="0"/>
        <w:spacing w:line="320" w:lineRule="exact"/>
        <w:ind w:firstLine="360" w:firstLineChars="150"/>
        <w:textAlignment w:val="auto"/>
        <w:rPr>
          <w:rFonts w:ascii="宋体" w:hAnsi="宋体" w:cs="宋体"/>
          <w:sz w:val="24"/>
        </w:rPr>
      </w:pPr>
      <w:r>
        <w:rPr>
          <w:rFonts w:hint="eastAsia" w:ascii="宋体" w:hAnsi="宋体" w:cs="宋体"/>
          <w:sz w:val="24"/>
        </w:rPr>
        <w:t>5、若为代理商投标，则需提供制造商为其出具的授权书原件（扫描件、复印件无效），或在中标后，签合同前提供；</w:t>
      </w:r>
    </w:p>
    <w:p>
      <w:pPr>
        <w:pageBreakBefore w:val="0"/>
        <w:wordWrap/>
        <w:topLinePunct w:val="0"/>
        <w:autoSpaceDE w:val="0"/>
        <w:autoSpaceDN w:val="0"/>
        <w:bidi w:val="0"/>
        <w:adjustRightInd w:val="0"/>
        <w:spacing w:line="320" w:lineRule="exact"/>
        <w:ind w:firstLine="360" w:firstLineChars="150"/>
        <w:jc w:val="left"/>
        <w:textAlignment w:val="auto"/>
        <w:rPr>
          <w:rFonts w:hint="eastAsia" w:ascii="宋体" w:hAnsi="宋体" w:cs="宋体"/>
          <w:sz w:val="24"/>
        </w:rPr>
      </w:pPr>
      <w:r>
        <w:rPr>
          <w:rFonts w:hint="eastAsia" w:ascii="宋体" w:hAnsi="宋体" w:cs="宋体"/>
          <w:sz w:val="24"/>
        </w:rPr>
        <w:t>6、本项目不接受联合体投标，采用资格后审；</w:t>
      </w:r>
    </w:p>
    <w:p>
      <w:pPr>
        <w:pageBreakBefore w:val="0"/>
        <w:wordWrap/>
        <w:topLinePunct w:val="0"/>
        <w:autoSpaceDE w:val="0"/>
        <w:autoSpaceDN w:val="0"/>
        <w:bidi w:val="0"/>
        <w:adjustRightInd w:val="0"/>
        <w:spacing w:line="320" w:lineRule="exact"/>
        <w:ind w:firstLine="240" w:firstLineChars="100"/>
        <w:textAlignment w:val="auto"/>
        <w:rPr>
          <w:rFonts w:ascii="宋体" w:hAnsi="宋体" w:cs="宋体"/>
          <w:sz w:val="24"/>
        </w:rPr>
      </w:pPr>
      <w:r>
        <w:rPr>
          <w:rFonts w:hint="eastAsia" w:ascii="宋体" w:hAnsi="宋体" w:cs="宋体"/>
          <w:b w:val="0"/>
          <w:bCs w:val="0"/>
          <w:sz w:val="24"/>
        </w:rPr>
        <w:t xml:space="preserve"> </w:t>
      </w:r>
      <w:r>
        <w:rPr>
          <w:rFonts w:hint="eastAsia" w:ascii="宋体" w:hAnsi="宋体" w:cs="宋体"/>
          <w:b w:val="0"/>
          <w:bCs w:val="0"/>
          <w:sz w:val="24"/>
          <w:lang w:val="en-US" w:eastAsia="zh-CN"/>
        </w:rPr>
        <w:t>7</w:t>
      </w:r>
      <w:r>
        <w:rPr>
          <w:rFonts w:hint="eastAsia" w:ascii="宋体" w:hAnsi="宋体" w:cs="宋体"/>
          <w:sz w:val="24"/>
        </w:rPr>
        <w:t>、单位负责人为同一人或有夫妻、直系亲属关系或者存在控股、管理关系的不同单位，不得参加同一标包或者未划分标段的同一项目磋商；</w:t>
      </w:r>
    </w:p>
    <w:p>
      <w:pPr>
        <w:pageBreakBefore w:val="0"/>
        <w:wordWrap/>
        <w:topLinePunct w:val="0"/>
        <w:autoSpaceDE w:val="0"/>
        <w:autoSpaceDN w:val="0"/>
        <w:bidi w:val="0"/>
        <w:adjustRightInd w:val="0"/>
        <w:spacing w:line="320" w:lineRule="exact"/>
        <w:ind w:firstLine="360" w:firstLineChars="150"/>
        <w:textAlignment w:val="auto"/>
        <w:rPr>
          <w:rFonts w:ascii="宋体" w:hAnsi="宋体" w:cs="宋体"/>
          <w:sz w:val="24"/>
        </w:rPr>
      </w:pPr>
      <w:r>
        <w:rPr>
          <w:rFonts w:hint="eastAsia" w:ascii="宋体" w:hAnsi="宋体" w:cs="宋体"/>
          <w:sz w:val="24"/>
          <w:lang w:val="en-US" w:eastAsia="zh-CN"/>
        </w:rPr>
        <w:t>8</w:t>
      </w:r>
      <w:r>
        <w:rPr>
          <w:rFonts w:hint="eastAsia" w:ascii="宋体" w:hAnsi="宋体" w:cs="宋体"/>
          <w:sz w:val="24"/>
        </w:rPr>
        <w:t>、在“信用中国”网址（https://www.creditchina.gov.cn/home/）和“中国政府采购网”网址（http://www.ccgp.gov.cn/search/cr/）查询，存在以下不良信用记录情形之一的，不得推荐为成交候选人和成交人：</w:t>
      </w:r>
    </w:p>
    <w:p>
      <w:pPr>
        <w:pageBreakBefore w:val="0"/>
        <w:wordWrap/>
        <w:topLinePunct w:val="0"/>
        <w:autoSpaceDE w:val="0"/>
        <w:autoSpaceDN w:val="0"/>
        <w:bidi w:val="0"/>
        <w:adjustRightInd w:val="0"/>
        <w:spacing w:line="320" w:lineRule="exact"/>
        <w:ind w:firstLine="360" w:firstLineChars="150"/>
        <w:textAlignment w:val="auto"/>
        <w:rPr>
          <w:rFonts w:ascii="宋体" w:hAnsi="宋体" w:cs="宋体"/>
          <w:sz w:val="24"/>
        </w:rPr>
      </w:pPr>
      <w:r>
        <w:rPr>
          <w:rFonts w:hint="eastAsia" w:ascii="宋体" w:hAnsi="宋体" w:cs="宋体"/>
          <w:sz w:val="24"/>
        </w:rPr>
        <w:t>（1）被人民法院列入失信被执行人的；</w:t>
      </w:r>
      <w:r>
        <w:rPr>
          <w:rFonts w:hint="eastAsia" w:ascii="宋体" w:hAnsi="宋体" w:cs="宋体"/>
          <w:sz w:val="24"/>
        </w:rPr>
        <w:tab/>
      </w:r>
    </w:p>
    <w:p>
      <w:pPr>
        <w:pageBreakBefore w:val="0"/>
        <w:wordWrap/>
        <w:topLinePunct w:val="0"/>
        <w:autoSpaceDE w:val="0"/>
        <w:autoSpaceDN w:val="0"/>
        <w:bidi w:val="0"/>
        <w:adjustRightInd w:val="0"/>
        <w:spacing w:line="320" w:lineRule="exact"/>
        <w:ind w:firstLine="360" w:firstLineChars="150"/>
        <w:textAlignment w:val="auto"/>
        <w:rPr>
          <w:rFonts w:ascii="宋体" w:hAnsi="宋体" w:cs="宋体"/>
          <w:sz w:val="24"/>
        </w:rPr>
      </w:pPr>
      <w:r>
        <w:rPr>
          <w:rFonts w:hint="eastAsia" w:ascii="宋体" w:hAnsi="宋体" w:cs="宋体"/>
          <w:sz w:val="24"/>
        </w:rPr>
        <w:t>（2）被工商行政管理部门列入企业经营异常名录的；</w:t>
      </w:r>
    </w:p>
    <w:p>
      <w:pPr>
        <w:pageBreakBefore w:val="0"/>
        <w:wordWrap/>
        <w:topLinePunct w:val="0"/>
        <w:autoSpaceDE w:val="0"/>
        <w:autoSpaceDN w:val="0"/>
        <w:bidi w:val="0"/>
        <w:adjustRightInd w:val="0"/>
        <w:spacing w:line="320" w:lineRule="exact"/>
        <w:ind w:firstLine="360" w:firstLineChars="150"/>
        <w:textAlignment w:val="auto"/>
        <w:rPr>
          <w:rFonts w:ascii="宋体" w:hAnsi="宋体" w:cs="宋体"/>
          <w:sz w:val="24"/>
        </w:rPr>
      </w:pPr>
      <w:r>
        <w:rPr>
          <w:rFonts w:hint="eastAsia" w:ascii="宋体" w:hAnsi="宋体" w:cs="宋体"/>
          <w:sz w:val="24"/>
        </w:rPr>
        <w:t>（3）被税务部门列入重大税收违法案件当事人名单的；</w:t>
      </w:r>
    </w:p>
    <w:p>
      <w:pPr>
        <w:pageBreakBefore w:val="0"/>
        <w:wordWrap/>
        <w:topLinePunct w:val="0"/>
        <w:autoSpaceDE w:val="0"/>
        <w:autoSpaceDN w:val="0"/>
        <w:bidi w:val="0"/>
        <w:adjustRightInd w:val="0"/>
        <w:spacing w:line="320" w:lineRule="exact"/>
        <w:ind w:firstLine="360" w:firstLineChars="150"/>
        <w:textAlignment w:val="auto"/>
        <w:rPr>
          <w:rFonts w:hint="eastAsia" w:ascii="宋体" w:hAnsi="宋体" w:cs="宋体"/>
          <w:sz w:val="24"/>
        </w:rPr>
      </w:pPr>
      <w:r>
        <w:rPr>
          <w:rFonts w:hint="eastAsia" w:ascii="宋体" w:hAnsi="宋体" w:cs="宋体"/>
          <w:sz w:val="24"/>
        </w:rPr>
        <w:t>（4）被政府采购监管部门列入政府采购严重违法失信行为记录名单的；</w:t>
      </w:r>
    </w:p>
    <w:p>
      <w:pPr>
        <w:pageBreakBefore w:val="0"/>
        <w:wordWrap/>
        <w:topLinePunct w:val="0"/>
        <w:autoSpaceDE w:val="0"/>
        <w:autoSpaceDN w:val="0"/>
        <w:bidi w:val="0"/>
        <w:adjustRightInd w:val="0"/>
        <w:spacing w:line="320" w:lineRule="exact"/>
        <w:ind w:firstLine="360" w:firstLineChars="150"/>
        <w:jc w:val="left"/>
        <w:textAlignment w:val="auto"/>
        <w:rPr>
          <w:rFonts w:hint="eastAsia" w:ascii="宋体" w:hAnsi="宋体" w:cs="宋体"/>
          <w:sz w:val="24"/>
        </w:rPr>
      </w:pPr>
      <w:r>
        <w:rPr>
          <w:rFonts w:hint="eastAsia" w:ascii="宋体" w:hAnsi="宋体" w:cs="宋体"/>
          <w:sz w:val="24"/>
        </w:rPr>
        <w:t>9、投标单位务必提供所投产品彩页原件和近年相关或相近业绩，以及招标文件所提要求和技术参数的响应表。</w:t>
      </w:r>
    </w:p>
    <w:p>
      <w:pPr>
        <w:pageBreakBefore w:val="0"/>
        <w:wordWrap/>
        <w:topLinePunct w:val="0"/>
        <w:autoSpaceDE w:val="0"/>
        <w:autoSpaceDN w:val="0"/>
        <w:bidi w:val="0"/>
        <w:adjustRightInd w:val="0"/>
        <w:spacing w:line="320" w:lineRule="exact"/>
        <w:textAlignment w:val="auto"/>
        <w:rPr>
          <w:rFonts w:ascii="宋体" w:hAnsi="宋体" w:cs="宋体"/>
          <w:sz w:val="24"/>
        </w:rPr>
      </w:pPr>
      <w:r>
        <w:rPr>
          <w:rFonts w:hint="eastAsia" w:ascii="宋体" w:hAnsi="宋体" w:cs="宋体"/>
          <w:b/>
          <w:sz w:val="24"/>
        </w:rPr>
        <w:t>四、获取招标文件</w:t>
      </w:r>
      <w:r>
        <w:rPr>
          <w:rFonts w:hint="eastAsia" w:ascii="宋体" w:hAnsi="宋体" w:cs="宋体"/>
          <w:b/>
          <w:sz w:val="24"/>
          <w:lang w:eastAsia="zh-CN"/>
        </w:rPr>
        <w:t>、</w:t>
      </w:r>
      <w:r>
        <w:rPr>
          <w:rFonts w:hint="eastAsia" w:ascii="宋体" w:hAnsi="宋体" w:cs="宋体"/>
          <w:b/>
          <w:sz w:val="24"/>
        </w:rPr>
        <w:t>投标文件递交截止时间（开标时间）</w:t>
      </w:r>
      <w:r>
        <w:rPr>
          <w:rFonts w:hint="eastAsia" w:ascii="宋体" w:hAnsi="宋体" w:cs="宋体"/>
          <w:b/>
          <w:sz w:val="24"/>
          <w:lang w:val="en-US" w:eastAsia="zh-CN"/>
        </w:rPr>
        <w:t>及</w:t>
      </w:r>
      <w:r>
        <w:rPr>
          <w:rFonts w:hint="eastAsia" w:ascii="宋体" w:hAnsi="宋体" w:cs="宋体"/>
          <w:b/>
          <w:sz w:val="24"/>
        </w:rPr>
        <w:t>相关事项</w:t>
      </w:r>
      <w:r>
        <w:rPr>
          <w:rFonts w:hint="eastAsia" w:ascii="宋体" w:hAnsi="宋体" w:cs="宋体"/>
          <w:sz w:val="24"/>
        </w:rPr>
        <w:t>：</w:t>
      </w:r>
    </w:p>
    <w:p>
      <w:pPr>
        <w:pageBreakBefore w:val="0"/>
        <w:wordWrap/>
        <w:topLinePunct w:val="0"/>
        <w:autoSpaceDE w:val="0"/>
        <w:autoSpaceDN w:val="0"/>
        <w:bidi w:val="0"/>
        <w:adjustRightInd w:val="0"/>
        <w:spacing w:line="320" w:lineRule="exact"/>
        <w:ind w:firstLine="360" w:firstLineChars="150"/>
        <w:textAlignment w:val="auto"/>
        <w:rPr>
          <w:rFonts w:hint="eastAsia" w:ascii="宋体" w:hAnsi="宋体" w:cs="宋体"/>
          <w:sz w:val="24"/>
        </w:rPr>
      </w:pPr>
      <w:r>
        <w:rPr>
          <w:rFonts w:hint="eastAsia" w:ascii="宋体" w:hAnsi="宋体" w:cs="宋体"/>
          <w:sz w:val="24"/>
        </w:rPr>
        <w:t>1、获取</w:t>
      </w:r>
      <w:r>
        <w:rPr>
          <w:rFonts w:hint="eastAsia" w:ascii="宋体" w:hAnsi="宋体" w:cs="宋体"/>
          <w:sz w:val="24"/>
          <w:lang w:val="en-US" w:eastAsia="zh-CN"/>
        </w:rPr>
        <w:t>招标文件截止时间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5</w:t>
      </w:r>
      <w:r>
        <w:rPr>
          <w:rFonts w:hint="eastAsia" w:ascii="宋体" w:hAnsi="宋体" w:cs="宋体"/>
          <w:sz w:val="24"/>
        </w:rPr>
        <w:t>月</w:t>
      </w:r>
      <w:r>
        <w:rPr>
          <w:rFonts w:hint="eastAsia" w:ascii="宋体" w:hAnsi="宋体" w:cs="宋体"/>
          <w:sz w:val="24"/>
          <w:lang w:val="en-US" w:eastAsia="zh-CN"/>
        </w:rPr>
        <w:t xml:space="preserve"> 10</w:t>
      </w:r>
      <w:r>
        <w:rPr>
          <w:rFonts w:hint="eastAsia" w:ascii="宋体" w:hAnsi="宋体" w:cs="宋体"/>
          <w:sz w:val="24"/>
        </w:rPr>
        <w:t>日至202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5</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日16时00分；</w:t>
      </w:r>
    </w:p>
    <w:p>
      <w:pPr>
        <w:pageBreakBefore w:val="0"/>
        <w:wordWrap/>
        <w:topLinePunct w:val="0"/>
        <w:autoSpaceDE w:val="0"/>
        <w:autoSpaceDN w:val="0"/>
        <w:bidi w:val="0"/>
        <w:adjustRightInd w:val="0"/>
        <w:spacing w:line="320" w:lineRule="exact"/>
        <w:ind w:firstLine="360" w:firstLineChars="150"/>
        <w:textAlignment w:val="auto"/>
        <w:rPr>
          <w:rFonts w:hint="default" w:ascii="宋体" w:hAnsi="宋体" w:eastAsia="宋体" w:cs="宋体"/>
          <w:sz w:val="24"/>
          <w:lang w:val="en-US" w:eastAsia="zh-CN"/>
        </w:rPr>
      </w:pPr>
      <w:r>
        <w:rPr>
          <w:rFonts w:hint="eastAsia" w:ascii="宋体" w:hAnsi="宋体" w:cs="宋体"/>
          <w:sz w:val="24"/>
          <w:lang w:val="en-US" w:eastAsia="zh-CN"/>
        </w:rPr>
        <w:t>2、开标时间：</w:t>
      </w:r>
      <w:r>
        <w:rPr>
          <w:rFonts w:hint="eastAsia" w:ascii="宋体" w:hAnsi="宋体" w:cs="宋体"/>
          <w:sz w:val="24"/>
        </w:rPr>
        <w:t>另行通知</w:t>
      </w:r>
    </w:p>
    <w:p>
      <w:pPr>
        <w:pageBreakBefore w:val="0"/>
        <w:wordWrap/>
        <w:topLinePunct w:val="0"/>
        <w:autoSpaceDE w:val="0"/>
        <w:autoSpaceDN w:val="0"/>
        <w:bidi w:val="0"/>
        <w:adjustRightInd w:val="0"/>
        <w:spacing w:line="320" w:lineRule="exact"/>
        <w:ind w:firstLine="360" w:firstLineChars="150"/>
        <w:textAlignment w:val="auto"/>
        <w:rPr>
          <w:rFonts w:hint="default" w:ascii="宋体" w:hAnsi="宋体" w:eastAsia="宋体" w:cs="宋体"/>
          <w:sz w:val="24"/>
          <w:lang w:val="en-US" w:eastAsia="zh-CN"/>
        </w:rPr>
      </w:pPr>
      <w:r>
        <w:rPr>
          <w:rFonts w:hint="eastAsia" w:ascii="宋体" w:hAnsi="宋体" w:cs="宋体"/>
          <w:sz w:val="24"/>
        </w:rPr>
        <w:t>1、投标文件递交截止时间：</w:t>
      </w:r>
      <w:r>
        <w:rPr>
          <w:rFonts w:hint="eastAsia" w:ascii="宋体" w:hAnsi="宋体" w:cs="宋体"/>
          <w:sz w:val="24"/>
          <w:lang w:val="en-US" w:eastAsia="zh-CN"/>
        </w:rPr>
        <w:t>开标前</w:t>
      </w:r>
    </w:p>
    <w:p>
      <w:pPr>
        <w:pageBreakBefore w:val="0"/>
        <w:wordWrap/>
        <w:topLinePunct w:val="0"/>
        <w:autoSpaceDE w:val="0"/>
        <w:autoSpaceDN w:val="0"/>
        <w:bidi w:val="0"/>
        <w:adjustRightInd w:val="0"/>
        <w:spacing w:line="320" w:lineRule="exact"/>
        <w:ind w:firstLine="360" w:firstLineChars="150"/>
        <w:textAlignment w:val="auto"/>
        <w:rPr>
          <w:rFonts w:ascii="宋体" w:hAnsi="宋体" w:cs="宋体"/>
          <w:sz w:val="24"/>
        </w:rPr>
      </w:pPr>
      <w:r>
        <w:rPr>
          <w:rFonts w:hint="eastAsia" w:ascii="宋体" w:hAnsi="宋体" w:cs="宋体"/>
          <w:sz w:val="24"/>
        </w:rPr>
        <w:t>2、投标文件递交地点：安徽文达信息工程学院后勤集团采购中心</w:t>
      </w:r>
    </w:p>
    <w:p>
      <w:pPr>
        <w:pageBreakBefore w:val="0"/>
        <w:wordWrap/>
        <w:topLinePunct w:val="0"/>
        <w:autoSpaceDE w:val="0"/>
        <w:autoSpaceDN w:val="0"/>
        <w:bidi w:val="0"/>
        <w:adjustRightInd w:val="0"/>
        <w:spacing w:line="320" w:lineRule="exact"/>
        <w:ind w:firstLine="360" w:firstLineChars="150"/>
        <w:textAlignment w:val="auto"/>
        <w:rPr>
          <w:rFonts w:ascii="宋体" w:hAnsi="宋体" w:cs="宋体"/>
          <w:sz w:val="24"/>
        </w:rPr>
      </w:pPr>
      <w:r>
        <w:rPr>
          <w:rFonts w:hint="eastAsia" w:ascii="宋体" w:hAnsi="宋体" w:cs="宋体"/>
          <w:sz w:val="24"/>
        </w:rPr>
        <w:t>3、本项目采用纸质投标文件方式递交（密封要求详见招标文件），不需要网上递交；</w:t>
      </w:r>
    </w:p>
    <w:p>
      <w:pPr>
        <w:pageBreakBefore w:val="0"/>
        <w:wordWrap/>
        <w:topLinePunct w:val="0"/>
        <w:autoSpaceDE w:val="0"/>
        <w:autoSpaceDN w:val="0"/>
        <w:bidi w:val="0"/>
        <w:adjustRightInd w:val="0"/>
        <w:spacing w:line="320" w:lineRule="exact"/>
        <w:ind w:firstLine="360" w:firstLineChars="150"/>
        <w:textAlignment w:val="auto"/>
        <w:rPr>
          <w:rFonts w:hint="default" w:ascii="宋体" w:hAnsi="宋体" w:eastAsia="宋体" w:cs="宋体"/>
          <w:color w:val="auto"/>
          <w:sz w:val="24"/>
          <w:lang w:val="en-US" w:eastAsia="zh-CN"/>
        </w:rPr>
      </w:pPr>
      <w:r>
        <w:rPr>
          <w:rFonts w:hint="eastAsia" w:ascii="宋体" w:hAnsi="宋体" w:cs="宋体"/>
          <w:sz w:val="24"/>
        </w:rPr>
        <w:t>4、结合近期疫情防控情况，参加开标活动人员应严格做好新型冠状病毒感染肺炎疫情防控措施，符合疫情防控管理人员要求后进入</w:t>
      </w:r>
      <w:r>
        <w:rPr>
          <w:rFonts w:hint="eastAsia" w:ascii="宋体" w:hAnsi="宋体" w:cs="宋体"/>
          <w:color w:val="auto"/>
          <w:sz w:val="24"/>
        </w:rPr>
        <w:t>。</w:t>
      </w:r>
      <w:r>
        <w:rPr>
          <w:rFonts w:hint="eastAsia" w:ascii="宋体" w:hAnsi="宋体" w:cs="宋体"/>
          <w:color w:val="auto"/>
          <w:sz w:val="24"/>
          <w:lang w:val="en-US" w:eastAsia="zh-CN"/>
        </w:rPr>
        <w:t>开标前24小时内提交来校参标人员名单、手机号、车牌号。</w:t>
      </w:r>
    </w:p>
    <w:p>
      <w:pPr>
        <w:pageBreakBefore w:val="0"/>
        <w:wordWrap/>
        <w:topLinePunct w:val="0"/>
        <w:autoSpaceDE w:val="0"/>
        <w:autoSpaceDN w:val="0"/>
        <w:bidi w:val="0"/>
        <w:adjustRightInd w:val="0"/>
        <w:spacing w:line="320" w:lineRule="exact"/>
        <w:ind w:firstLine="360" w:firstLineChars="150"/>
        <w:textAlignment w:val="auto"/>
        <w:rPr>
          <w:rFonts w:ascii="宋体" w:hAnsi="宋体" w:cs="宋体"/>
          <w:sz w:val="24"/>
        </w:rPr>
      </w:pPr>
      <w:r>
        <w:rPr>
          <w:rFonts w:hint="eastAsia" w:ascii="宋体" w:hAnsi="宋体" w:cs="宋体"/>
          <w:sz w:val="24"/>
        </w:rPr>
        <w:t>5、已经购买了招标文件的潜在投标人拟放弃参与的，必须最迟在招标截止时间2日前向学校提交有效的书面放弃投标告知函，否则学校将该潜在投标人记入“不守信投标记录档案”，并在相关网络平台公告。</w:t>
      </w:r>
    </w:p>
    <w:p>
      <w:pPr>
        <w:pageBreakBefore w:val="0"/>
        <w:wordWrap/>
        <w:topLinePunct w:val="0"/>
        <w:autoSpaceDE w:val="0"/>
        <w:autoSpaceDN w:val="0"/>
        <w:bidi w:val="0"/>
        <w:adjustRightInd w:val="0"/>
        <w:spacing w:line="320" w:lineRule="exact"/>
        <w:textAlignment w:val="auto"/>
        <w:rPr>
          <w:rFonts w:ascii="宋体" w:hAnsi="宋体" w:cs="宋体"/>
          <w:b/>
          <w:sz w:val="24"/>
        </w:rPr>
      </w:pPr>
      <w:r>
        <w:rPr>
          <w:rFonts w:hint="eastAsia" w:ascii="宋体" w:hAnsi="宋体" w:cs="宋体"/>
          <w:b/>
          <w:sz w:val="24"/>
        </w:rPr>
        <w:t>七、</w:t>
      </w:r>
      <w:r>
        <w:rPr>
          <w:rFonts w:hint="eastAsia" w:ascii="宋体" w:hAnsi="宋体" w:cs="宋体"/>
          <w:b/>
          <w:sz w:val="24"/>
          <w:lang w:val="en-US" w:eastAsia="zh-CN"/>
        </w:rPr>
        <w:t>投标人报名</w:t>
      </w:r>
      <w:r>
        <w:rPr>
          <w:rFonts w:hint="eastAsia" w:ascii="宋体" w:hAnsi="宋体" w:cs="宋体"/>
          <w:b/>
          <w:sz w:val="24"/>
        </w:rPr>
        <w:t>联系方式</w:t>
      </w:r>
    </w:p>
    <w:p>
      <w:pPr>
        <w:pageBreakBefore w:val="0"/>
        <w:wordWrap/>
        <w:topLinePunct w:val="0"/>
        <w:autoSpaceDE w:val="0"/>
        <w:autoSpaceDN w:val="0"/>
        <w:bidi w:val="0"/>
        <w:adjustRightInd w:val="0"/>
        <w:spacing w:line="320" w:lineRule="exact"/>
        <w:textAlignment w:val="auto"/>
        <w:rPr>
          <w:rFonts w:ascii="宋体" w:hAnsi="宋体" w:cs="宋体"/>
          <w:sz w:val="24"/>
        </w:rPr>
      </w:pPr>
      <w:r>
        <w:rPr>
          <w:rFonts w:hint="eastAsia" w:ascii="宋体" w:hAnsi="宋体" w:cs="宋体"/>
          <w:sz w:val="24"/>
        </w:rPr>
        <w:t>采购人：安徽文达信息工程学院</w:t>
      </w:r>
    </w:p>
    <w:p>
      <w:pPr>
        <w:pageBreakBefore w:val="0"/>
        <w:wordWrap/>
        <w:topLinePunct w:val="0"/>
        <w:autoSpaceDE w:val="0"/>
        <w:autoSpaceDN w:val="0"/>
        <w:bidi w:val="0"/>
        <w:adjustRightInd w:val="0"/>
        <w:spacing w:line="320" w:lineRule="exact"/>
        <w:textAlignment w:val="auto"/>
        <w:rPr>
          <w:rFonts w:ascii="宋体" w:hAnsi="宋体" w:cs="宋体"/>
          <w:sz w:val="24"/>
        </w:rPr>
      </w:pPr>
      <w:r>
        <w:rPr>
          <w:rFonts w:hint="eastAsia" w:ascii="宋体" w:hAnsi="宋体" w:cs="宋体"/>
          <w:sz w:val="24"/>
        </w:rPr>
        <w:t>联系人：</w:t>
      </w:r>
    </w:p>
    <w:p>
      <w:pPr>
        <w:pageBreakBefore w:val="0"/>
        <w:wordWrap/>
        <w:topLinePunct w:val="0"/>
        <w:autoSpaceDE w:val="0"/>
        <w:autoSpaceDN w:val="0"/>
        <w:bidi w:val="0"/>
        <w:adjustRightInd w:val="0"/>
        <w:spacing w:line="320" w:lineRule="exact"/>
        <w:textAlignment w:val="auto"/>
        <w:rPr>
          <w:rFonts w:ascii="宋体" w:hAnsi="宋体" w:cs="宋体"/>
          <w:sz w:val="24"/>
        </w:rPr>
      </w:pPr>
      <w:r>
        <w:rPr>
          <w:rFonts w:hint="eastAsia" w:ascii="宋体" w:hAnsi="宋体" w:cs="宋体"/>
          <w:sz w:val="24"/>
        </w:rPr>
        <w:t xml:space="preserve">杨老师  18956035539   </w:t>
      </w:r>
    </w:p>
    <w:p>
      <w:pPr>
        <w:pageBreakBefore w:val="0"/>
        <w:wordWrap/>
        <w:topLinePunct w:val="0"/>
        <w:autoSpaceDE w:val="0"/>
        <w:autoSpaceDN w:val="0"/>
        <w:bidi w:val="0"/>
        <w:adjustRightInd w:val="0"/>
        <w:spacing w:line="320" w:lineRule="exact"/>
        <w:textAlignment w:val="auto"/>
        <w:rPr>
          <w:rFonts w:hint="default" w:ascii="宋体" w:hAnsi="宋体" w:eastAsia="宋体" w:cs="宋体"/>
          <w:sz w:val="24"/>
          <w:lang w:val="en-US" w:eastAsia="zh-CN"/>
        </w:rPr>
      </w:pPr>
      <w:r>
        <w:rPr>
          <w:rFonts w:hint="eastAsia" w:ascii="宋体" w:hAnsi="宋体" w:cs="宋体"/>
          <w:sz w:val="24"/>
        </w:rPr>
        <w:t>曹老师  18788882459</w:t>
      </w:r>
      <w:r>
        <w:rPr>
          <w:rFonts w:hint="eastAsia" w:ascii="宋体" w:hAnsi="宋体" w:cs="宋体"/>
          <w:sz w:val="24"/>
          <w:lang w:eastAsia="zh-CN"/>
        </w:rPr>
        <w:t>（</w:t>
      </w:r>
      <w:r>
        <w:rPr>
          <w:rFonts w:hint="eastAsia" w:ascii="宋体" w:hAnsi="宋体" w:cs="宋体"/>
          <w:sz w:val="24"/>
          <w:lang w:val="en-US" w:eastAsia="zh-CN"/>
        </w:rPr>
        <w:t>报名联系人）</w:t>
      </w:r>
    </w:p>
    <w:p>
      <w:pPr>
        <w:pageBreakBefore w:val="0"/>
        <w:wordWrap/>
        <w:topLinePunct w:val="0"/>
        <w:autoSpaceDE w:val="0"/>
        <w:autoSpaceDN w:val="0"/>
        <w:bidi w:val="0"/>
        <w:adjustRightInd w:val="0"/>
        <w:spacing w:line="320" w:lineRule="exact"/>
        <w:textAlignment w:val="auto"/>
        <w:rPr>
          <w:rFonts w:hint="eastAsia" w:ascii="宋体" w:hAnsi="宋体" w:cs="宋体"/>
          <w:sz w:val="24"/>
        </w:rPr>
      </w:pPr>
      <w:r>
        <w:rPr>
          <w:rFonts w:hint="eastAsia" w:ascii="宋体" w:hAnsi="宋体" w:cs="宋体"/>
          <w:sz w:val="24"/>
        </w:rPr>
        <w:t>地 址：安徽文达信息工程学院后勤集团采购中心</w:t>
      </w:r>
    </w:p>
    <w:p>
      <w:pPr>
        <w:pageBreakBefore w:val="0"/>
        <w:wordWrap/>
        <w:topLinePunct w:val="0"/>
        <w:autoSpaceDE w:val="0"/>
        <w:autoSpaceDN w:val="0"/>
        <w:bidi w:val="0"/>
        <w:adjustRightInd w:val="0"/>
        <w:spacing w:line="320" w:lineRule="exact"/>
        <w:ind w:firstLine="3654" w:firstLineChars="1300"/>
        <w:textAlignment w:val="auto"/>
        <w:rPr>
          <w:rFonts w:ascii="宋体" w:hAnsi="宋体" w:cs="宋体"/>
          <w:b/>
          <w:sz w:val="28"/>
          <w:szCs w:val="28"/>
        </w:rPr>
      </w:pPr>
      <w:r>
        <w:rPr>
          <w:rFonts w:hint="eastAsia" w:ascii="宋体" w:hAnsi="宋体" w:cs="宋体"/>
          <w:b/>
          <w:bCs/>
          <w:sz w:val="28"/>
          <w:szCs w:val="28"/>
        </w:rPr>
        <w:t>投标人须知前附表</w:t>
      </w:r>
    </w:p>
    <w:tbl>
      <w:tblPr>
        <w:tblStyle w:val="7"/>
        <w:tblW w:w="96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422"/>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cs="宋体"/>
                <w:b/>
                <w:sz w:val="24"/>
              </w:rPr>
            </w:pPr>
            <w:r>
              <w:rPr>
                <w:rFonts w:hint="eastAsia" w:ascii="宋体" w:hAnsi="宋体" w:cs="宋体"/>
                <w:b/>
                <w:sz w:val="24"/>
              </w:rPr>
              <w:t>序号</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cs="宋体"/>
                <w:b/>
                <w:sz w:val="24"/>
              </w:rPr>
            </w:pPr>
            <w:r>
              <w:rPr>
                <w:rFonts w:hint="eastAsia" w:ascii="宋体" w:hAnsi="宋体" w:cs="宋体"/>
                <w:b/>
                <w:sz w:val="24"/>
              </w:rPr>
              <w:t>内容</w:t>
            </w:r>
          </w:p>
        </w:tc>
        <w:tc>
          <w:tcPr>
            <w:tcW w:w="634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420"/>
                <w:tab w:val="center" w:pos="4153"/>
                <w:tab w:val="right" w:pos="8306"/>
              </w:tabs>
              <w:wordWrap/>
              <w:topLinePunct w:val="0"/>
              <w:bidi w:val="0"/>
              <w:spacing w:line="320" w:lineRule="exact"/>
              <w:jc w:val="center"/>
              <w:textAlignment w:val="auto"/>
              <w:rPr>
                <w:rFonts w:ascii="宋体" w:hAnsi="宋体"/>
                <w:b/>
                <w:bCs/>
                <w:sz w:val="24"/>
              </w:rPr>
            </w:pPr>
            <w:r>
              <w:rPr>
                <w:rFonts w:hint="eastAsia" w:ascii="宋体" w:hAnsi="宋体"/>
                <w:b/>
                <w:bCs/>
                <w:sz w:val="24"/>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bCs/>
                <w:sz w:val="24"/>
              </w:rPr>
            </w:pPr>
            <w:r>
              <w:rPr>
                <w:rFonts w:hint="eastAsia" w:ascii="宋体" w:hAnsi="宋体"/>
                <w:bCs/>
                <w:sz w:val="24"/>
              </w:rPr>
              <w:t>采购人</w:t>
            </w:r>
          </w:p>
        </w:tc>
        <w:tc>
          <w:tcPr>
            <w:tcW w:w="634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textAlignment w:val="auto"/>
              <w:rPr>
                <w:rFonts w:ascii="宋体" w:hAnsi="宋体"/>
                <w:sz w:val="24"/>
              </w:rPr>
            </w:pPr>
            <w:r>
              <w:rPr>
                <w:rFonts w:hint="eastAsia" w:ascii="宋体" w:hAnsi="宋体"/>
                <w:sz w:val="24"/>
              </w:rPr>
              <w:t>安徽文达信息工程学院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b/>
                <w:bCs/>
                <w:sz w:val="24"/>
              </w:rPr>
            </w:pPr>
            <w:r>
              <w:rPr>
                <w:rFonts w:hint="eastAsia" w:ascii="宋体" w:hAnsi="宋体"/>
                <w:b/>
                <w:bCs/>
                <w:sz w:val="24"/>
              </w:rPr>
              <w:t>2</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sz w:val="24"/>
              </w:rPr>
            </w:pPr>
            <w:r>
              <w:rPr>
                <w:rFonts w:hint="eastAsia" w:ascii="宋体" w:hAnsi="宋体"/>
                <w:sz w:val="24"/>
              </w:rPr>
              <w:t>项目名称</w:t>
            </w:r>
          </w:p>
        </w:tc>
        <w:tc>
          <w:tcPr>
            <w:tcW w:w="634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autoSpaceDE w:val="0"/>
              <w:autoSpaceDN w:val="0"/>
              <w:bidi w:val="0"/>
              <w:adjustRightInd w:val="0"/>
              <w:spacing w:line="320" w:lineRule="exact"/>
              <w:jc w:val="left"/>
              <w:textAlignment w:val="auto"/>
              <w:rPr>
                <w:rFonts w:ascii="宋体" w:hAnsi="宋体"/>
                <w:kern w:val="0"/>
                <w:sz w:val="24"/>
              </w:rPr>
            </w:pPr>
            <w:r>
              <w:rPr>
                <w:rFonts w:hint="eastAsia" w:ascii="宋体" w:hAnsi="宋体"/>
                <w:kern w:val="0"/>
                <w:sz w:val="24"/>
              </w:rPr>
              <w:t>长庚楼</w:t>
            </w:r>
            <w:r>
              <w:rPr>
                <w:rFonts w:hint="eastAsia" w:ascii="宋体" w:hAnsi="宋体"/>
                <w:kern w:val="0"/>
                <w:sz w:val="24"/>
                <w:lang w:val="en-US" w:eastAsia="zh-CN"/>
              </w:rPr>
              <w:t>教室</w:t>
            </w:r>
            <w:r>
              <w:rPr>
                <w:rFonts w:hint="eastAsia" w:ascii="宋体" w:hAnsi="宋体"/>
                <w:kern w:val="0"/>
                <w:sz w:val="24"/>
              </w:rPr>
              <w:t>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b/>
                <w:bCs/>
                <w:sz w:val="24"/>
              </w:rPr>
            </w:pPr>
            <w:r>
              <w:rPr>
                <w:rFonts w:hint="eastAsia" w:ascii="宋体" w:hAnsi="宋体"/>
                <w:b/>
                <w:bCs/>
                <w:sz w:val="24"/>
              </w:rPr>
              <w:t>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sz w:val="24"/>
              </w:rPr>
            </w:pPr>
            <w:r>
              <w:rPr>
                <w:rFonts w:hint="eastAsia" w:ascii="宋体" w:hAnsi="宋体"/>
                <w:sz w:val="24"/>
              </w:rPr>
              <w:t>项目性质</w:t>
            </w:r>
          </w:p>
        </w:tc>
        <w:tc>
          <w:tcPr>
            <w:tcW w:w="634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textAlignment w:val="auto"/>
              <w:rPr>
                <w:rFonts w:ascii="宋体" w:hAnsi="宋体"/>
                <w:kern w:val="0"/>
                <w:sz w:val="24"/>
              </w:rPr>
            </w:pPr>
            <w:r>
              <w:rPr>
                <w:rFonts w:hint="eastAsia" w:ascii="宋体" w:hAnsi="宋体"/>
                <w:kern w:val="0"/>
                <w:sz w:val="24"/>
              </w:rPr>
              <w:t>货物类</w:t>
            </w:r>
            <w:r>
              <w:rPr>
                <w:rFonts w:hint="eastAsia" w:ascii="宋体" w:hAnsi="宋体"/>
                <w:kern w:val="0"/>
                <w:sz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b/>
                <w:bCs/>
                <w:sz w:val="24"/>
              </w:rPr>
            </w:pPr>
            <w:r>
              <w:rPr>
                <w:rFonts w:hint="eastAsia" w:ascii="宋体" w:hAnsi="宋体"/>
                <w:b/>
                <w:bCs/>
                <w:sz w:val="24"/>
              </w:rPr>
              <w:t>4</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sz w:val="24"/>
              </w:rPr>
            </w:pPr>
            <w:r>
              <w:rPr>
                <w:rFonts w:hint="eastAsia" w:ascii="宋体" w:hAnsi="宋体"/>
                <w:sz w:val="24"/>
              </w:rPr>
              <w:t>资金来源</w:t>
            </w:r>
          </w:p>
        </w:tc>
        <w:tc>
          <w:tcPr>
            <w:tcW w:w="634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textAlignment w:val="auto"/>
              <w:rPr>
                <w:rFonts w:ascii="宋体" w:hAnsi="宋体"/>
                <w:kern w:val="0"/>
                <w:sz w:val="24"/>
              </w:rPr>
            </w:pPr>
            <w:r>
              <w:rPr>
                <w:rFonts w:hint="eastAsia" w:ascii="宋体" w:hAnsi="宋体"/>
                <w:kern w:val="0"/>
                <w:sz w:val="24"/>
              </w:rPr>
              <w:t>采购人</w:t>
            </w:r>
            <w:r>
              <w:rPr>
                <w:rFonts w:hint="eastAsia" w:ascii="宋体" w:hAnsi="宋体"/>
                <w:kern w:val="0"/>
                <w:sz w:val="24"/>
                <w:lang w:val="zh-CN"/>
              </w:rPr>
              <w:t xml:space="preserve">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ind w:right="102"/>
              <w:jc w:val="center"/>
              <w:textAlignment w:val="auto"/>
              <w:rPr>
                <w:rFonts w:ascii="宋体" w:hAnsi="宋体"/>
                <w:b/>
                <w:sz w:val="24"/>
                <w:lang w:val="zh-CN"/>
              </w:rPr>
            </w:pPr>
            <w:r>
              <w:rPr>
                <w:rFonts w:hint="eastAsia" w:ascii="宋体" w:hAnsi="宋体"/>
                <w:b/>
                <w:sz w:val="24"/>
                <w:lang w:val="zh-CN"/>
              </w:rPr>
              <w:t>5</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sz w:val="24"/>
              </w:rPr>
            </w:pPr>
            <w:r>
              <w:rPr>
                <w:rFonts w:hint="eastAsia" w:ascii="宋体" w:hAnsi="宋体"/>
                <w:sz w:val="24"/>
                <w:lang w:val="zh-CN"/>
              </w:rPr>
              <w:t>付款方式</w:t>
            </w:r>
          </w:p>
        </w:tc>
        <w:tc>
          <w:tcPr>
            <w:tcW w:w="6346" w:type="dxa"/>
            <w:tcBorders>
              <w:top w:val="single" w:color="auto" w:sz="4" w:space="0"/>
              <w:left w:val="single" w:color="auto" w:sz="4" w:space="0"/>
              <w:bottom w:val="single" w:color="auto" w:sz="4" w:space="0"/>
              <w:right w:val="single" w:color="auto" w:sz="4" w:space="0"/>
            </w:tcBorders>
            <w:noWrap w:val="0"/>
            <w:vAlign w:val="top"/>
          </w:tcPr>
          <w:p>
            <w:pPr>
              <w:pageBreakBefore w:val="0"/>
              <w:wordWrap/>
              <w:topLinePunct w:val="0"/>
              <w:bidi w:val="0"/>
              <w:spacing w:line="320" w:lineRule="exact"/>
              <w:textAlignment w:val="auto"/>
              <w:rPr>
                <w:rFonts w:ascii="宋体" w:hAnsi="宋体"/>
                <w:sz w:val="24"/>
                <w:lang w:val="zh-CN"/>
              </w:rPr>
            </w:pPr>
            <w:r>
              <w:rPr>
                <w:rFonts w:hint="eastAsia" w:ascii="宋体" w:hAnsi="宋体"/>
                <w:sz w:val="24"/>
              </w:rPr>
              <w:t>验收合格后付合同总款的</w:t>
            </w:r>
            <w:r>
              <w:rPr>
                <w:rFonts w:hint="eastAsia" w:ascii="宋体" w:hAnsi="宋体"/>
                <w:sz w:val="24"/>
                <w:lang w:val="en-US" w:eastAsia="zh-CN"/>
              </w:rPr>
              <w:t>90</w:t>
            </w:r>
            <w:r>
              <w:rPr>
                <w:rFonts w:hint="eastAsia" w:ascii="宋体" w:hAnsi="宋体"/>
                <w:sz w:val="24"/>
              </w:rPr>
              <w:t>%，余款</w:t>
            </w:r>
            <w:r>
              <w:rPr>
                <w:rFonts w:hint="eastAsia" w:ascii="宋体" w:hAnsi="宋体"/>
                <w:sz w:val="24"/>
                <w:lang w:val="en-US" w:eastAsia="zh-CN"/>
              </w:rPr>
              <w:t>10%</w:t>
            </w:r>
            <w:r>
              <w:rPr>
                <w:rFonts w:hint="eastAsia" w:ascii="宋体" w:hAnsi="宋体"/>
                <w:sz w:val="24"/>
              </w:rPr>
              <w:t>作为质量保证金，满一年后无息付清。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b/>
                <w:sz w:val="24"/>
              </w:rPr>
            </w:pPr>
            <w:r>
              <w:rPr>
                <w:rFonts w:hint="eastAsia" w:ascii="宋体" w:hAnsi="宋体"/>
                <w:b/>
                <w:sz w:val="24"/>
              </w:rPr>
              <w:t>6</w:t>
            </w:r>
          </w:p>
        </w:tc>
        <w:tc>
          <w:tcPr>
            <w:tcW w:w="2422" w:type="dxa"/>
            <w:tcBorders>
              <w:top w:val="single" w:color="auto" w:sz="4" w:space="0"/>
              <w:left w:val="single" w:color="auto" w:sz="4" w:space="0"/>
              <w:bottom w:val="single" w:color="auto" w:sz="4" w:space="0"/>
              <w:right w:val="single" w:color="auto" w:sz="4" w:space="0"/>
            </w:tcBorders>
            <w:noWrap w:val="0"/>
            <w:vAlign w:val="top"/>
          </w:tcPr>
          <w:p>
            <w:pPr>
              <w:pageBreakBefore w:val="0"/>
              <w:wordWrap/>
              <w:topLinePunct w:val="0"/>
              <w:bidi w:val="0"/>
              <w:spacing w:line="320" w:lineRule="exact"/>
              <w:jc w:val="center"/>
              <w:textAlignment w:val="auto"/>
              <w:rPr>
                <w:rFonts w:ascii="宋体" w:hAnsi="宋体"/>
                <w:sz w:val="24"/>
              </w:rPr>
            </w:pPr>
            <w:r>
              <w:rPr>
                <w:rFonts w:hint="eastAsia" w:ascii="宋体" w:hAnsi="宋体"/>
                <w:sz w:val="24"/>
              </w:rPr>
              <w:t>供货地点</w:t>
            </w:r>
          </w:p>
        </w:tc>
        <w:tc>
          <w:tcPr>
            <w:tcW w:w="6346" w:type="dxa"/>
            <w:tcBorders>
              <w:top w:val="single" w:color="auto" w:sz="4" w:space="0"/>
              <w:left w:val="single" w:color="auto" w:sz="4" w:space="0"/>
              <w:bottom w:val="single" w:color="auto" w:sz="4" w:space="0"/>
              <w:right w:val="single" w:color="auto" w:sz="4" w:space="0"/>
            </w:tcBorders>
            <w:noWrap w:val="0"/>
            <w:vAlign w:val="top"/>
          </w:tcPr>
          <w:p>
            <w:pPr>
              <w:pageBreakBefore w:val="0"/>
              <w:wordWrap/>
              <w:topLinePunct w:val="0"/>
              <w:bidi w:val="0"/>
              <w:spacing w:line="320" w:lineRule="exact"/>
              <w:textAlignment w:val="auto"/>
              <w:rPr>
                <w:rFonts w:ascii="宋体" w:hAnsi="宋体"/>
                <w:sz w:val="24"/>
              </w:rPr>
            </w:pPr>
            <w:r>
              <w:rPr>
                <w:rFonts w:hint="eastAsia" w:ascii="宋体" w:hAnsi="宋体"/>
                <w:sz w:val="24"/>
              </w:rPr>
              <w:t>安徽文达信息工程学院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hint="eastAsia" w:ascii="宋体" w:hAnsi="宋体"/>
                <w:b/>
                <w:sz w:val="24"/>
              </w:rPr>
            </w:pPr>
            <w:r>
              <w:rPr>
                <w:rFonts w:hint="eastAsia" w:ascii="宋体" w:hAnsi="宋体"/>
                <w:b/>
                <w:sz w:val="24"/>
              </w:rPr>
              <w:t>7</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bCs/>
                <w:sz w:val="24"/>
              </w:rPr>
            </w:pPr>
            <w:r>
              <w:rPr>
                <w:rFonts w:hint="eastAsia" w:ascii="宋体" w:hAnsi="宋体"/>
                <w:bCs/>
                <w:sz w:val="24"/>
              </w:rPr>
              <w:t>勘察现场</w:t>
            </w:r>
          </w:p>
        </w:tc>
        <w:tc>
          <w:tcPr>
            <w:tcW w:w="634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textAlignment w:val="auto"/>
              <w:rPr>
                <w:rFonts w:ascii="宋体" w:hAnsi="宋体"/>
                <w:bCs/>
                <w:sz w:val="24"/>
              </w:rPr>
            </w:pPr>
            <w:r>
              <w:rPr>
                <w:rFonts w:hint="eastAsia" w:ascii="宋体" w:hAnsi="宋体"/>
                <w:bCs/>
                <w:sz w:val="24"/>
                <w:lang w:val="en-US" w:eastAsia="zh-CN"/>
              </w:rPr>
              <w:t>必须</w:t>
            </w:r>
            <w:r>
              <w:rPr>
                <w:rFonts w:hint="eastAsia" w:ascii="宋体" w:hAnsi="宋体"/>
                <w:bCs/>
                <w:sz w:val="24"/>
              </w:rPr>
              <w:t>勘察</w:t>
            </w:r>
            <w:r>
              <w:rPr>
                <w:rFonts w:hint="eastAsia" w:ascii="宋体" w:hAnsi="宋体"/>
                <w:bCs/>
                <w:sz w:val="24"/>
                <w:lang w:val="en-US" w:eastAsia="zh-CN"/>
              </w:rPr>
              <w:t>现场</w:t>
            </w:r>
            <w:r>
              <w:rPr>
                <w:rFonts w:hint="eastAsia" w:ascii="宋体"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hint="eastAsia" w:ascii="宋体" w:hAnsi="宋体"/>
                <w:b/>
                <w:sz w:val="24"/>
              </w:rPr>
            </w:pPr>
            <w:r>
              <w:rPr>
                <w:rFonts w:hint="eastAsia" w:ascii="宋体" w:hAnsi="宋体"/>
                <w:b/>
                <w:sz w:val="24"/>
              </w:rPr>
              <w:t>8</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sz w:val="24"/>
              </w:rPr>
            </w:pPr>
            <w:r>
              <w:rPr>
                <w:rFonts w:hint="eastAsia" w:ascii="宋体" w:hAnsi="宋体"/>
                <w:sz w:val="24"/>
              </w:rPr>
              <w:t>投标文件份数及要求</w:t>
            </w:r>
          </w:p>
        </w:tc>
        <w:tc>
          <w:tcPr>
            <w:tcW w:w="634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textAlignment w:val="auto"/>
              <w:rPr>
                <w:rFonts w:ascii="宋体" w:hAnsi="宋体"/>
                <w:sz w:val="24"/>
              </w:rPr>
            </w:pPr>
            <w:r>
              <w:rPr>
                <w:rFonts w:hint="eastAsia" w:ascii="宋体" w:hAnsi="宋体"/>
                <w:sz w:val="24"/>
              </w:rPr>
              <w:t>正本</w:t>
            </w:r>
            <w:r>
              <w:rPr>
                <w:rFonts w:hint="eastAsia" w:ascii="宋体" w:hAnsi="宋体"/>
                <w:sz w:val="24"/>
                <w:u w:val="single"/>
              </w:rPr>
              <w:t>1</w:t>
            </w:r>
            <w:r>
              <w:rPr>
                <w:rFonts w:hint="eastAsia" w:ascii="宋体" w:hAnsi="宋体"/>
                <w:sz w:val="24"/>
              </w:rPr>
              <w:t>份</w:t>
            </w:r>
            <w:r>
              <w:rPr>
                <w:rFonts w:hint="eastAsia" w:ascii="宋体" w:hAnsi="宋体"/>
                <w:sz w:val="24"/>
                <w:lang w:eastAsia="zh-CN"/>
              </w:rPr>
              <w:t>、</w:t>
            </w:r>
            <w:r>
              <w:rPr>
                <w:rFonts w:hint="eastAsia" w:ascii="宋体" w:hAnsi="宋体"/>
                <w:sz w:val="24"/>
              </w:rPr>
              <w:t>副本</w:t>
            </w:r>
            <w:r>
              <w:rPr>
                <w:rFonts w:hint="eastAsia" w:ascii="宋体" w:hAnsi="宋体"/>
                <w:sz w:val="24"/>
                <w:u w:val="single"/>
              </w:rPr>
              <w:t>3</w:t>
            </w:r>
            <w:r>
              <w:rPr>
                <w:rFonts w:hint="eastAsia" w:ascii="宋体" w:hAnsi="宋体"/>
                <w:sz w:val="24"/>
              </w:rPr>
              <w:t>份</w:t>
            </w:r>
            <w:r>
              <w:rPr>
                <w:rFonts w:hint="eastAsia" w:ascii="宋体" w:hAnsi="宋体"/>
                <w:sz w:val="24"/>
                <w:lang w:val="en-US" w:eastAsia="zh-CN"/>
              </w:rPr>
              <w:t>存放于一个档案袋内</w:t>
            </w:r>
            <w:r>
              <w:rPr>
                <w:rFonts w:hint="eastAsia" w:ascii="宋体" w:hAnsi="宋体"/>
                <w:sz w:val="24"/>
              </w:rPr>
              <w:t>密封开标现场提交。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hint="eastAsia" w:ascii="宋体" w:hAnsi="宋体"/>
                <w:b/>
                <w:sz w:val="24"/>
              </w:rPr>
            </w:pPr>
            <w:r>
              <w:rPr>
                <w:rFonts w:hint="eastAsia" w:ascii="宋体" w:hAnsi="宋体"/>
                <w:b/>
                <w:sz w:val="24"/>
              </w:rPr>
              <w:t>9</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sz w:val="24"/>
              </w:rPr>
            </w:pPr>
            <w:r>
              <w:rPr>
                <w:rFonts w:hint="eastAsia" w:ascii="宋体" w:hAnsi="宋体"/>
                <w:sz w:val="24"/>
              </w:rPr>
              <w:t>质疑与答</w:t>
            </w:r>
            <w:r>
              <w:rPr>
                <w:rFonts w:hint="eastAsia" w:ascii="宋体" w:hAnsi="宋体"/>
                <w:spacing w:val="-1"/>
                <w:sz w:val="24"/>
              </w:rPr>
              <w:t>疑</w:t>
            </w:r>
          </w:p>
        </w:tc>
        <w:tc>
          <w:tcPr>
            <w:tcW w:w="634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wordWrap/>
              <w:topLinePunct w:val="0"/>
              <w:bidi w:val="0"/>
              <w:spacing w:line="320" w:lineRule="exact"/>
              <w:ind w:leftChars="0"/>
              <w:textAlignment w:val="auto"/>
              <w:rPr>
                <w:rFonts w:ascii="宋体" w:hAnsi="宋体"/>
                <w:spacing w:val="-120"/>
                <w:sz w:val="24"/>
              </w:rPr>
            </w:pPr>
            <w:r>
              <w:rPr>
                <w:rFonts w:hint="eastAsia" w:ascii="宋体" w:hAnsi="宋体"/>
                <w:sz w:val="24"/>
              </w:rPr>
              <w:t>供应商如果对招标文件内容有相关疑问</w:t>
            </w:r>
            <w:r>
              <w:rPr>
                <w:rFonts w:hint="eastAsia" w:ascii="宋体" w:hAnsi="宋体"/>
                <w:spacing w:val="-30"/>
                <w:sz w:val="24"/>
              </w:rPr>
              <w:t>，</w:t>
            </w:r>
            <w:r>
              <w:rPr>
                <w:rFonts w:hint="eastAsia" w:ascii="宋体" w:hAnsi="宋体"/>
                <w:sz w:val="24"/>
              </w:rPr>
              <w:t>可以向采购人提出（疑问文件以文档形式提供，如</w:t>
            </w:r>
            <w:r>
              <w:rPr>
                <w:rFonts w:hint="eastAsia" w:ascii="宋体" w:hAnsi="宋体"/>
                <w:spacing w:val="-61"/>
                <w:sz w:val="24"/>
              </w:rPr>
              <w:t xml:space="preserve"> </w:t>
            </w:r>
            <w:r>
              <w:rPr>
                <w:rFonts w:hint="eastAsia" w:ascii="宋体" w:hAnsi="宋体"/>
                <w:sz w:val="24"/>
              </w:rPr>
              <w:t>WORD</w:t>
            </w:r>
            <w:r>
              <w:rPr>
                <w:rFonts w:hint="eastAsia" w:ascii="宋体" w:hAnsi="宋体"/>
                <w:spacing w:val="-60"/>
                <w:sz w:val="24"/>
              </w:rPr>
              <w:t xml:space="preserve"> </w:t>
            </w:r>
            <w:r>
              <w:rPr>
                <w:rFonts w:hint="eastAsia" w:ascii="宋体" w:hAnsi="宋体"/>
                <w:sz w:val="24"/>
              </w:rPr>
              <w:t>文档等</w:t>
            </w:r>
            <w:r>
              <w:rPr>
                <w:rFonts w:hint="eastAsia" w:ascii="宋体" w:hAnsi="宋体"/>
                <w:spacing w:val="-120"/>
                <w:sz w:val="24"/>
              </w:rPr>
              <w:t>）。。</w:t>
            </w:r>
          </w:p>
          <w:p>
            <w:pPr>
              <w:pageBreakBefore w:val="0"/>
              <w:numPr>
                <w:ilvl w:val="0"/>
                <w:numId w:val="0"/>
              </w:numPr>
              <w:wordWrap/>
              <w:topLinePunct w:val="0"/>
              <w:bidi w:val="0"/>
              <w:spacing w:line="320" w:lineRule="exact"/>
              <w:ind w:leftChars="0"/>
              <w:textAlignment w:val="auto"/>
              <w:rPr>
                <w:rFonts w:ascii="宋体" w:hAnsi="宋体"/>
                <w:spacing w:val="-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b/>
                <w:sz w:val="24"/>
              </w:rPr>
            </w:pPr>
            <w:r>
              <w:rPr>
                <w:rFonts w:hint="eastAsia" w:ascii="宋体" w:hAnsi="宋体"/>
                <w:b/>
                <w:sz w:val="24"/>
              </w:rPr>
              <w:t>10</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bCs/>
                <w:sz w:val="24"/>
              </w:rPr>
            </w:pPr>
            <w:r>
              <w:rPr>
                <w:rFonts w:hint="eastAsia" w:ascii="宋体" w:hAnsi="宋体"/>
                <w:sz w:val="24"/>
              </w:rPr>
              <w:t>开标时间及地点</w:t>
            </w:r>
          </w:p>
        </w:tc>
        <w:tc>
          <w:tcPr>
            <w:tcW w:w="634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textAlignment w:val="auto"/>
              <w:rPr>
                <w:rFonts w:ascii="宋体" w:hAnsi="宋体"/>
                <w:bCs/>
                <w:sz w:val="24"/>
                <w:u w:val="single"/>
              </w:rPr>
            </w:pPr>
            <w:r>
              <w:rPr>
                <w:rFonts w:hint="eastAsia" w:ascii="宋体" w:hAnsi="宋体"/>
                <w:sz w:val="24"/>
              </w:rPr>
              <w:t>开标时间： 另行通知</w:t>
            </w:r>
          </w:p>
          <w:p>
            <w:pPr>
              <w:pageBreakBefore w:val="0"/>
              <w:wordWrap/>
              <w:topLinePunct w:val="0"/>
              <w:bidi w:val="0"/>
              <w:spacing w:line="320" w:lineRule="exact"/>
              <w:jc w:val="left"/>
              <w:textAlignment w:val="auto"/>
              <w:rPr>
                <w:rFonts w:ascii="宋体" w:hAnsi="宋体"/>
                <w:sz w:val="24"/>
              </w:rPr>
            </w:pPr>
            <w:r>
              <w:rPr>
                <w:rFonts w:hint="eastAsia" w:ascii="宋体" w:hAnsi="宋体"/>
                <w:sz w:val="24"/>
              </w:rPr>
              <w:t>开标地点：</w:t>
            </w:r>
            <w:r>
              <w:rPr>
                <w:rFonts w:hint="eastAsia" w:ascii="宋体" w:hAnsi="宋体" w:cs="宋体"/>
                <w:sz w:val="24"/>
              </w:rPr>
              <w:t>安徽文达信息工程学院振宁楼一楼后勤会议室；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b/>
                <w:sz w:val="24"/>
              </w:rPr>
            </w:pPr>
            <w:r>
              <w:rPr>
                <w:rFonts w:hint="eastAsia" w:ascii="宋体" w:hAnsi="宋体"/>
                <w:b/>
                <w:sz w:val="24"/>
              </w:rPr>
              <w:t>11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jc w:val="center"/>
              <w:textAlignment w:val="auto"/>
              <w:rPr>
                <w:rFonts w:ascii="宋体" w:hAnsi="宋体"/>
                <w:sz w:val="24"/>
              </w:rPr>
            </w:pPr>
            <w:r>
              <w:rPr>
                <w:rFonts w:hint="eastAsia" w:ascii="宋体" w:hAnsi="宋体"/>
                <w:sz w:val="24"/>
              </w:rPr>
              <w:t>报价货币币种形式</w:t>
            </w:r>
          </w:p>
        </w:tc>
        <w:tc>
          <w:tcPr>
            <w:tcW w:w="634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topLinePunct w:val="0"/>
              <w:bidi w:val="0"/>
              <w:spacing w:line="320" w:lineRule="exact"/>
              <w:textAlignment w:val="auto"/>
              <w:rPr>
                <w:rFonts w:ascii="宋体" w:hAnsi="宋体"/>
                <w:sz w:val="24"/>
              </w:rPr>
            </w:pPr>
            <w:r>
              <w:rPr>
                <w:rFonts w:hint="eastAsia" w:ascii="宋体" w:hAnsi="宋体"/>
                <w:sz w:val="24"/>
              </w:rPr>
              <w:t>本项统一采用人民币报价</w:t>
            </w:r>
          </w:p>
        </w:tc>
      </w:tr>
    </w:tbl>
    <w:p>
      <w:pPr>
        <w:pageBreakBefore w:val="0"/>
        <w:wordWrap/>
        <w:topLinePunct w:val="0"/>
        <w:bidi w:val="0"/>
        <w:spacing w:line="320" w:lineRule="exact"/>
        <w:ind w:firstLine="2891" w:firstLineChars="1200"/>
        <w:textAlignment w:val="auto"/>
        <w:rPr>
          <w:b/>
          <w:sz w:val="24"/>
        </w:rPr>
      </w:pPr>
    </w:p>
    <w:p>
      <w:pPr>
        <w:pageBreakBefore w:val="0"/>
        <w:wordWrap/>
        <w:topLinePunct w:val="0"/>
        <w:bidi w:val="0"/>
        <w:spacing w:line="320" w:lineRule="exact"/>
        <w:ind w:firstLine="2891" w:firstLineChars="1200"/>
        <w:textAlignment w:val="auto"/>
        <w:rPr>
          <w:b/>
          <w:sz w:val="24"/>
        </w:rPr>
      </w:pPr>
    </w:p>
    <w:p>
      <w:pPr>
        <w:pageBreakBefore w:val="0"/>
        <w:wordWrap/>
        <w:topLinePunct w:val="0"/>
        <w:bidi w:val="0"/>
        <w:spacing w:line="320" w:lineRule="exact"/>
        <w:ind w:firstLine="2891" w:firstLineChars="1200"/>
        <w:textAlignment w:val="auto"/>
        <w:rPr>
          <w:b/>
          <w:sz w:val="24"/>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ind w:firstLine="3654" w:firstLineChars="1300"/>
        <w:textAlignment w:val="auto"/>
        <w:rPr>
          <w:rFonts w:hint="eastAsia"/>
          <w:b/>
          <w:sz w:val="28"/>
          <w:szCs w:val="28"/>
        </w:rPr>
      </w:pPr>
    </w:p>
    <w:p>
      <w:pPr>
        <w:pageBreakBefore w:val="0"/>
        <w:wordWrap/>
        <w:topLinePunct w:val="0"/>
        <w:bidi w:val="0"/>
        <w:spacing w:line="320" w:lineRule="exact"/>
        <w:textAlignment w:val="auto"/>
        <w:rPr>
          <w:rFonts w:hint="eastAsia"/>
          <w:b/>
          <w:sz w:val="28"/>
          <w:szCs w:val="28"/>
        </w:rPr>
      </w:pPr>
    </w:p>
    <w:p>
      <w:pPr>
        <w:pageBreakBefore w:val="0"/>
        <w:wordWrap/>
        <w:topLinePunct w:val="0"/>
        <w:bidi w:val="0"/>
        <w:spacing w:line="320" w:lineRule="exact"/>
        <w:ind w:firstLine="4216" w:firstLineChars="1500"/>
        <w:textAlignment w:val="auto"/>
        <w:rPr>
          <w:rFonts w:hint="eastAsia"/>
          <w:b/>
          <w:sz w:val="28"/>
          <w:szCs w:val="28"/>
        </w:rPr>
      </w:pPr>
    </w:p>
    <w:p>
      <w:pPr>
        <w:pageBreakBefore w:val="0"/>
        <w:wordWrap/>
        <w:topLinePunct w:val="0"/>
        <w:bidi w:val="0"/>
        <w:spacing w:line="320" w:lineRule="exact"/>
        <w:ind w:firstLine="4216" w:firstLineChars="1500"/>
        <w:textAlignment w:val="auto"/>
        <w:rPr>
          <w:rFonts w:hint="eastAsia"/>
          <w:b/>
          <w:sz w:val="28"/>
          <w:szCs w:val="28"/>
        </w:rPr>
      </w:pPr>
    </w:p>
    <w:p>
      <w:pPr>
        <w:pageBreakBefore w:val="0"/>
        <w:wordWrap/>
        <w:topLinePunct w:val="0"/>
        <w:bidi w:val="0"/>
        <w:spacing w:line="320" w:lineRule="exact"/>
        <w:ind w:firstLine="4216" w:firstLineChars="1500"/>
        <w:textAlignment w:val="auto"/>
        <w:rPr>
          <w:b/>
          <w:sz w:val="28"/>
          <w:szCs w:val="28"/>
        </w:rPr>
      </w:pPr>
      <w:bookmarkStart w:id="9" w:name="_GoBack"/>
      <w:bookmarkEnd w:id="9"/>
      <w:r>
        <w:rPr>
          <w:rFonts w:hint="eastAsia"/>
          <w:b/>
          <w:sz w:val="28"/>
          <w:szCs w:val="28"/>
        </w:rPr>
        <w:t>评标办法</w:t>
      </w:r>
      <w:r>
        <w:rPr>
          <w:rFonts w:hint="eastAsia" w:ascii="宋体" w:hAnsi="宋体"/>
          <w:b/>
          <w:sz w:val="28"/>
          <w:szCs w:val="28"/>
        </w:rPr>
        <w:t xml:space="preserve">  </w:t>
      </w:r>
    </w:p>
    <w:p>
      <w:pPr>
        <w:pageBreakBefore w:val="0"/>
        <w:wordWrap/>
        <w:topLinePunct w:val="0"/>
        <w:bidi w:val="0"/>
        <w:adjustRightInd w:val="0"/>
        <w:snapToGrid w:val="0"/>
        <w:spacing w:line="320" w:lineRule="exact"/>
        <w:ind w:right="-10"/>
        <w:textAlignment w:val="auto"/>
        <w:rPr>
          <w:rFonts w:ascii="宋体" w:hAnsi="宋体"/>
          <w:b/>
          <w:sz w:val="24"/>
        </w:rPr>
      </w:pPr>
      <w:r>
        <w:rPr>
          <w:rFonts w:hint="eastAsia" w:ascii="宋体" w:hAnsi="宋体"/>
          <w:b/>
          <w:sz w:val="24"/>
        </w:rPr>
        <w:t>一、总  则</w:t>
      </w:r>
    </w:p>
    <w:p>
      <w:pPr>
        <w:pageBreakBefore w:val="0"/>
        <w:wordWrap/>
        <w:topLinePunct w:val="0"/>
        <w:bidi w:val="0"/>
        <w:adjustRightInd w:val="0"/>
        <w:snapToGrid w:val="0"/>
        <w:spacing w:line="320" w:lineRule="exact"/>
        <w:ind w:right="-10" w:firstLine="360" w:firstLineChars="150"/>
        <w:textAlignment w:val="auto"/>
        <w:rPr>
          <w:rFonts w:ascii="宋体" w:hAnsi="宋体"/>
          <w:sz w:val="24"/>
        </w:rPr>
      </w:pPr>
      <w:r>
        <w:rPr>
          <w:rFonts w:hint="eastAsia" w:ascii="宋体" w:hAnsi="宋体"/>
          <w:sz w:val="24"/>
        </w:rPr>
        <w:t>1、为了做好本项目的招标评标工作，保证项目评审工作的正常有序进行，维护采购人、投标人的合法权益，依据政府采购法律法规，本着公开、公平、公正的原则，制定评标办法。</w:t>
      </w:r>
    </w:p>
    <w:p>
      <w:pPr>
        <w:pageBreakBefore w:val="0"/>
        <w:wordWrap/>
        <w:topLinePunct w:val="0"/>
        <w:bidi w:val="0"/>
        <w:adjustRightInd w:val="0"/>
        <w:snapToGrid w:val="0"/>
        <w:spacing w:line="320" w:lineRule="exact"/>
        <w:ind w:right="-10" w:firstLine="360" w:firstLineChars="150"/>
        <w:textAlignment w:val="auto"/>
        <w:rPr>
          <w:rFonts w:ascii="宋体" w:hAnsi="宋体"/>
          <w:sz w:val="24"/>
        </w:rPr>
      </w:pPr>
      <w:r>
        <w:rPr>
          <w:rFonts w:hint="eastAsia" w:ascii="宋体" w:hAnsi="宋体"/>
          <w:sz w:val="24"/>
        </w:rPr>
        <w:t>2、本项目将依法组建不少于</w:t>
      </w:r>
      <w:r>
        <w:rPr>
          <w:rFonts w:hint="eastAsia" w:ascii="宋体" w:hAnsi="宋体"/>
          <w:b/>
          <w:sz w:val="24"/>
          <w:u w:val="single"/>
        </w:rPr>
        <w:t>5</w:t>
      </w:r>
      <w:r>
        <w:rPr>
          <w:rFonts w:hint="eastAsia" w:ascii="宋体" w:hAnsi="宋体"/>
          <w:sz w:val="24"/>
        </w:rPr>
        <w:t>人组成的评标小组，负责本项目的评标工作。</w:t>
      </w:r>
    </w:p>
    <w:p>
      <w:pPr>
        <w:pageBreakBefore w:val="0"/>
        <w:wordWrap/>
        <w:topLinePunct w:val="0"/>
        <w:bidi w:val="0"/>
        <w:adjustRightInd w:val="0"/>
        <w:snapToGrid w:val="0"/>
        <w:spacing w:line="320" w:lineRule="exact"/>
        <w:ind w:right="-10" w:firstLine="360" w:firstLineChars="150"/>
        <w:textAlignment w:val="auto"/>
        <w:rPr>
          <w:rFonts w:ascii="宋体" w:hAnsi="宋体"/>
          <w:sz w:val="24"/>
        </w:rPr>
      </w:pPr>
      <w:r>
        <w:rPr>
          <w:rFonts w:hint="eastAsia" w:ascii="宋体" w:hAnsi="宋体"/>
          <w:sz w:val="24"/>
        </w:rPr>
        <w:t>3、评标小组按照“客观公正，实事求是”的原则，评价参加本次招标的投标人所提供的产品价格、性能、质量、服务及对招标文件的符合性及响应性。</w:t>
      </w:r>
      <w:r>
        <w:rPr>
          <w:rFonts w:hint="eastAsia" w:ascii="宋体" w:hAnsi="宋体"/>
          <w:b/>
          <w:sz w:val="24"/>
        </w:rPr>
        <w:t xml:space="preserve">    </w:t>
      </w:r>
    </w:p>
    <w:p>
      <w:pPr>
        <w:pageBreakBefore w:val="0"/>
        <w:wordWrap/>
        <w:topLinePunct w:val="0"/>
        <w:bidi w:val="0"/>
        <w:adjustRightInd w:val="0"/>
        <w:snapToGrid w:val="0"/>
        <w:spacing w:line="320" w:lineRule="exact"/>
        <w:ind w:right="-10"/>
        <w:textAlignment w:val="auto"/>
        <w:rPr>
          <w:rFonts w:ascii="宋体" w:hAnsi="宋体"/>
          <w:b/>
          <w:sz w:val="24"/>
        </w:rPr>
      </w:pPr>
      <w:r>
        <w:rPr>
          <w:rFonts w:hint="eastAsia" w:ascii="宋体" w:hAnsi="宋体"/>
          <w:b/>
          <w:sz w:val="24"/>
        </w:rPr>
        <w:t>二、评标程序及评审细则</w:t>
      </w:r>
    </w:p>
    <w:p>
      <w:pPr>
        <w:pageBreakBefore w:val="0"/>
        <w:wordWrap/>
        <w:topLinePunct w:val="0"/>
        <w:bidi w:val="0"/>
        <w:adjustRightInd w:val="0"/>
        <w:snapToGrid w:val="0"/>
        <w:spacing w:line="320" w:lineRule="exact"/>
        <w:ind w:right="-10" w:firstLine="360" w:firstLineChars="150"/>
        <w:textAlignment w:val="auto"/>
        <w:rPr>
          <w:rFonts w:ascii="宋体" w:hAnsi="宋体"/>
          <w:sz w:val="24"/>
        </w:rPr>
      </w:pPr>
      <w:r>
        <w:rPr>
          <w:rFonts w:hint="eastAsia" w:ascii="宋体" w:hAnsi="宋体"/>
          <w:sz w:val="24"/>
        </w:rPr>
        <w:t>1、评标工作于开标后进行。评标小组应认真研究招标文件，至少应了解和熟悉以下内容：</w:t>
      </w:r>
    </w:p>
    <w:p>
      <w:pPr>
        <w:pageBreakBefore w:val="0"/>
        <w:wordWrap/>
        <w:topLinePunct w:val="0"/>
        <w:bidi w:val="0"/>
        <w:spacing w:line="320" w:lineRule="exact"/>
        <w:ind w:right="-10" w:firstLine="480" w:firstLineChars="200"/>
        <w:textAlignment w:val="auto"/>
        <w:rPr>
          <w:rFonts w:ascii="宋体" w:hAnsi="宋体"/>
          <w:sz w:val="24"/>
        </w:rPr>
      </w:pPr>
      <w:r>
        <w:rPr>
          <w:rFonts w:hint="eastAsia" w:ascii="宋体" w:hAnsi="宋体"/>
          <w:sz w:val="24"/>
        </w:rPr>
        <w:t>（1）招标的目标；</w:t>
      </w:r>
    </w:p>
    <w:p>
      <w:pPr>
        <w:pageBreakBefore w:val="0"/>
        <w:wordWrap/>
        <w:topLinePunct w:val="0"/>
        <w:bidi w:val="0"/>
        <w:spacing w:line="320" w:lineRule="exact"/>
        <w:ind w:left="480" w:right="-10"/>
        <w:textAlignment w:val="auto"/>
        <w:rPr>
          <w:rFonts w:ascii="宋体" w:hAnsi="宋体"/>
          <w:sz w:val="24"/>
        </w:rPr>
      </w:pPr>
      <w:r>
        <w:rPr>
          <w:rFonts w:hint="eastAsia" w:ascii="宋体" w:hAnsi="宋体"/>
          <w:sz w:val="24"/>
        </w:rPr>
        <w:t>（2）招标项目的范围和性质；</w:t>
      </w:r>
    </w:p>
    <w:p>
      <w:pPr>
        <w:pageBreakBefore w:val="0"/>
        <w:wordWrap/>
        <w:topLinePunct w:val="0"/>
        <w:bidi w:val="0"/>
        <w:spacing w:line="320" w:lineRule="exact"/>
        <w:ind w:left="480" w:right="-10"/>
        <w:textAlignment w:val="auto"/>
        <w:rPr>
          <w:rFonts w:ascii="宋体" w:hAnsi="宋体"/>
          <w:sz w:val="24"/>
        </w:rPr>
      </w:pPr>
      <w:r>
        <w:rPr>
          <w:rFonts w:hint="eastAsia" w:ascii="宋体" w:hAnsi="宋体"/>
          <w:sz w:val="24"/>
        </w:rPr>
        <w:t>（3）招标文件中规定的主要技术要求、标准和商务条款；</w:t>
      </w:r>
    </w:p>
    <w:p>
      <w:pPr>
        <w:pageBreakBefore w:val="0"/>
        <w:wordWrap/>
        <w:topLinePunct w:val="0"/>
        <w:bidi w:val="0"/>
        <w:spacing w:line="320" w:lineRule="exact"/>
        <w:ind w:left="480" w:right="-10"/>
        <w:textAlignment w:val="auto"/>
        <w:rPr>
          <w:rFonts w:ascii="宋体" w:hAnsi="宋体"/>
          <w:sz w:val="24"/>
        </w:rPr>
      </w:pPr>
      <w:r>
        <w:rPr>
          <w:rFonts w:hint="eastAsia" w:ascii="宋体" w:hAnsi="宋体"/>
          <w:sz w:val="24"/>
        </w:rPr>
        <w:t>（4）招标文件规定的评标标准、评标方法和在评标过程中考虑的相关因素。</w:t>
      </w:r>
    </w:p>
    <w:p>
      <w:pPr>
        <w:pageBreakBefore w:val="0"/>
        <w:wordWrap/>
        <w:topLinePunct w:val="0"/>
        <w:bidi w:val="0"/>
        <w:adjustRightInd w:val="0"/>
        <w:snapToGrid w:val="0"/>
        <w:spacing w:line="320" w:lineRule="exact"/>
        <w:ind w:right="-10"/>
        <w:textAlignment w:val="auto"/>
        <w:rPr>
          <w:rFonts w:ascii="宋体" w:hAnsi="宋体"/>
          <w:sz w:val="24"/>
        </w:rPr>
      </w:pPr>
      <w:r>
        <w:rPr>
          <w:rFonts w:hint="eastAsia" w:ascii="宋体" w:hAnsi="宋体"/>
          <w:sz w:val="24"/>
        </w:rPr>
        <w:t xml:space="preserve">   2、有效投标应符合以下原则：</w:t>
      </w:r>
    </w:p>
    <w:p>
      <w:pPr>
        <w:pageBreakBefore w:val="0"/>
        <w:wordWrap/>
        <w:topLinePunct w:val="0"/>
        <w:bidi w:val="0"/>
        <w:spacing w:line="320" w:lineRule="exact"/>
        <w:ind w:left="480" w:right="-10"/>
        <w:textAlignment w:val="auto"/>
        <w:rPr>
          <w:rFonts w:ascii="宋体" w:hAnsi="宋体"/>
          <w:sz w:val="24"/>
        </w:rPr>
      </w:pPr>
      <w:r>
        <w:rPr>
          <w:rFonts w:hint="eastAsia" w:ascii="宋体" w:hAnsi="宋体"/>
          <w:sz w:val="24"/>
        </w:rPr>
        <w:t>（1）满足招标文件的实质性要求；</w:t>
      </w:r>
    </w:p>
    <w:p>
      <w:pPr>
        <w:pageBreakBefore w:val="0"/>
        <w:wordWrap/>
        <w:topLinePunct w:val="0"/>
        <w:bidi w:val="0"/>
        <w:spacing w:line="320" w:lineRule="exact"/>
        <w:ind w:left="480" w:right="-10"/>
        <w:textAlignment w:val="auto"/>
        <w:rPr>
          <w:rFonts w:ascii="宋体" w:hAnsi="宋体"/>
          <w:sz w:val="24"/>
        </w:rPr>
      </w:pPr>
      <w:r>
        <w:rPr>
          <w:rFonts w:hint="eastAsia" w:ascii="宋体" w:hAnsi="宋体"/>
          <w:sz w:val="24"/>
        </w:rPr>
        <w:t>（2）无重大偏离或偏离在采购人能接受的限度以内；</w:t>
      </w:r>
    </w:p>
    <w:p>
      <w:pPr>
        <w:pageBreakBefore w:val="0"/>
        <w:wordWrap/>
        <w:topLinePunct w:val="0"/>
        <w:bidi w:val="0"/>
        <w:spacing w:line="320" w:lineRule="exact"/>
        <w:ind w:left="480" w:right="-10"/>
        <w:textAlignment w:val="auto"/>
        <w:rPr>
          <w:rFonts w:ascii="宋体" w:hAnsi="宋体"/>
          <w:sz w:val="24"/>
        </w:rPr>
      </w:pPr>
      <w:r>
        <w:rPr>
          <w:rFonts w:hint="eastAsia" w:ascii="宋体" w:hAnsi="宋体"/>
          <w:sz w:val="24"/>
        </w:rPr>
        <w:t>（3）通过投标有效性评审；</w:t>
      </w:r>
    </w:p>
    <w:p>
      <w:pPr>
        <w:pageBreakBefore w:val="0"/>
        <w:wordWrap/>
        <w:topLinePunct w:val="0"/>
        <w:bidi w:val="0"/>
        <w:adjustRightInd w:val="0"/>
        <w:snapToGrid w:val="0"/>
        <w:spacing w:line="320" w:lineRule="exact"/>
        <w:ind w:right="-10" w:firstLine="480" w:firstLineChars="200"/>
        <w:textAlignment w:val="auto"/>
        <w:rPr>
          <w:rFonts w:ascii="宋体" w:hAnsi="宋体"/>
          <w:sz w:val="24"/>
        </w:rPr>
      </w:pPr>
      <w:r>
        <w:rPr>
          <w:rFonts w:hint="eastAsia" w:ascii="宋体" w:hAnsi="宋体"/>
          <w:sz w:val="24"/>
        </w:rPr>
        <w:t>（4）评标小组依据招标文件认定的其他原则。</w:t>
      </w:r>
    </w:p>
    <w:p>
      <w:pPr>
        <w:pageBreakBefore w:val="0"/>
        <w:wordWrap/>
        <w:topLinePunct w:val="0"/>
        <w:bidi w:val="0"/>
        <w:adjustRightInd w:val="0"/>
        <w:snapToGrid w:val="0"/>
        <w:spacing w:line="320" w:lineRule="exact"/>
        <w:ind w:right="-10"/>
        <w:textAlignment w:val="auto"/>
        <w:rPr>
          <w:rFonts w:ascii="宋体" w:hAnsi="宋体"/>
          <w:sz w:val="24"/>
        </w:rPr>
      </w:pPr>
      <w:r>
        <w:rPr>
          <w:rFonts w:hint="eastAsia" w:ascii="宋体" w:hAnsi="宋体"/>
          <w:b/>
          <w:sz w:val="24"/>
        </w:rPr>
        <w:t xml:space="preserve">   </w:t>
      </w:r>
      <w:r>
        <w:rPr>
          <w:rFonts w:hint="eastAsia" w:ascii="宋体" w:hAnsi="宋体"/>
          <w:sz w:val="24"/>
        </w:rPr>
        <w:t>3、评标小组遵循公开、公平、公正和科学诚信的原则，对所有投标文件均采用相同程序和标准进行评定。如有效标不足三家，评标领导组可根据投标的实际情况决定流标或采用议标方式继续开标。</w:t>
      </w:r>
    </w:p>
    <w:p>
      <w:pPr>
        <w:pageBreakBefore w:val="0"/>
        <w:wordWrap/>
        <w:topLinePunct w:val="0"/>
        <w:bidi w:val="0"/>
        <w:adjustRightInd w:val="0"/>
        <w:snapToGrid w:val="0"/>
        <w:spacing w:line="320" w:lineRule="exact"/>
        <w:ind w:right="-10"/>
        <w:textAlignment w:val="auto"/>
        <w:rPr>
          <w:rFonts w:ascii="宋体" w:hAnsi="宋体"/>
          <w:sz w:val="24"/>
        </w:rPr>
      </w:pPr>
      <w:r>
        <w:rPr>
          <w:rFonts w:hint="eastAsia" w:ascii="宋体" w:hAnsi="宋体"/>
          <w:b/>
          <w:sz w:val="24"/>
        </w:rPr>
        <w:t xml:space="preserve">   </w:t>
      </w:r>
      <w:r>
        <w:rPr>
          <w:rFonts w:hint="eastAsia" w:ascii="宋体" w:hAnsi="宋体"/>
          <w:sz w:val="24"/>
        </w:rPr>
        <w:t>4、评审中，评标小组发现投标人的投标文件中对同类问题表述不一致、前后矛盾、有明显文字和计算错误的内容，有可能不符合招标文件规定等情况需要澄清时，评标小组将以询标的方式告知并要求投标人以书面方式进行必要的澄清、说明或补正。对于询标后判定为不符合招标文件的投标文件，评标小组提出充足的否定理由，并予以书面记录。最终对投标人的评审结论分为通过和未通过。</w:t>
      </w:r>
    </w:p>
    <w:p>
      <w:pPr>
        <w:pageBreakBefore w:val="0"/>
        <w:wordWrap/>
        <w:topLinePunct w:val="0"/>
        <w:bidi w:val="0"/>
        <w:adjustRightInd w:val="0"/>
        <w:snapToGrid w:val="0"/>
        <w:spacing w:line="320" w:lineRule="exact"/>
        <w:ind w:right="-10" w:firstLine="360" w:firstLineChars="150"/>
        <w:textAlignment w:val="auto"/>
        <w:rPr>
          <w:rFonts w:ascii="宋体" w:hAnsi="宋体"/>
          <w:sz w:val="24"/>
        </w:rPr>
      </w:pPr>
      <w:bookmarkStart w:id="0" w:name="_Hlk50123657"/>
      <w:r>
        <w:rPr>
          <w:rFonts w:hint="eastAsia" w:ascii="宋体" w:hAnsi="宋体"/>
          <w:sz w:val="24"/>
        </w:rPr>
        <w:t>5、按照招标文件中规定的各项因素进行评审后，对满足招标文件技术参数及所有条件均符合要求的投标单位，根据评标的实际情况，可直接确定中标商;或进行现场报价一次，再以最低价中标；或将评标结果报校理事会审议决定。确定第一、第二中标人，招投标办公室组织相关单位及人员，对本次投标单位是否存在有联合投标体或围标进行调查了解，以及对中标单位进行实地考察，考察结果合格后，发布中标通知书。注：最终中标结果以发布的中标公告为准。</w:t>
      </w:r>
    </w:p>
    <w:bookmarkEnd w:id="0"/>
    <w:p>
      <w:pPr>
        <w:pageBreakBefore w:val="0"/>
        <w:wordWrap/>
        <w:topLinePunct w:val="0"/>
        <w:bidi w:val="0"/>
        <w:adjustRightInd w:val="0"/>
        <w:snapToGrid w:val="0"/>
        <w:spacing w:line="320" w:lineRule="exact"/>
        <w:ind w:right="-11"/>
        <w:textAlignment w:val="auto"/>
        <w:rPr>
          <w:rFonts w:ascii="宋体" w:hAnsi="宋体"/>
          <w:sz w:val="24"/>
        </w:rPr>
      </w:pPr>
      <w:r>
        <w:rPr>
          <w:rFonts w:hint="eastAsia" w:ascii="宋体" w:hAnsi="宋体"/>
          <w:b/>
          <w:sz w:val="24"/>
        </w:rPr>
        <w:t>三、评标纪律</w:t>
      </w:r>
    </w:p>
    <w:p>
      <w:pPr>
        <w:pageBreakBefore w:val="0"/>
        <w:wordWrap/>
        <w:topLinePunct w:val="0"/>
        <w:bidi w:val="0"/>
        <w:adjustRightInd w:val="0"/>
        <w:snapToGrid w:val="0"/>
        <w:spacing w:line="320" w:lineRule="exact"/>
        <w:ind w:right="-11" w:firstLine="360" w:firstLineChars="150"/>
        <w:textAlignment w:val="auto"/>
        <w:rPr>
          <w:rFonts w:ascii="宋体" w:hAnsi="宋体"/>
          <w:sz w:val="24"/>
        </w:rPr>
      </w:pPr>
      <w:r>
        <w:rPr>
          <w:rFonts w:hint="eastAsia" w:ascii="宋体" w:hAnsi="宋体"/>
          <w:sz w:val="24"/>
        </w:rPr>
        <w:t>1、评标小组人员应严格遵守国家的法律、法规和规章制度；严格按照本次招标文件进行评标；公正廉洁、不徇私情，不得损害国家利益；保护招、投标人的合法权益。</w:t>
      </w:r>
    </w:p>
    <w:p>
      <w:pPr>
        <w:pageBreakBefore w:val="0"/>
        <w:wordWrap/>
        <w:topLinePunct w:val="0"/>
        <w:bidi w:val="0"/>
        <w:adjustRightInd w:val="0"/>
        <w:snapToGrid w:val="0"/>
        <w:spacing w:line="320" w:lineRule="exact"/>
        <w:ind w:right="-11" w:firstLine="360" w:firstLineChars="150"/>
        <w:textAlignment w:val="auto"/>
        <w:rPr>
          <w:rFonts w:ascii="宋体" w:hAnsi="宋体"/>
          <w:sz w:val="24"/>
        </w:rPr>
      </w:pPr>
      <w:r>
        <w:rPr>
          <w:rFonts w:hint="eastAsia" w:ascii="宋体" w:hAnsi="宋体"/>
          <w:sz w:val="24"/>
        </w:rPr>
        <w:t>2、在评标过程中，评标小组人员必须对评标情况严格保密，任何人不得将评标情况透露给与投标人有关的单位和个人。如有违反评标纪律的情况发生，将依据《中华人民共和国政府采购法》及其他有关法律法规的规定，追究有关当事人的责任。</w:t>
      </w:r>
    </w:p>
    <w:p>
      <w:pPr>
        <w:pageBreakBefore w:val="0"/>
        <w:wordWrap/>
        <w:topLinePunct w:val="0"/>
        <w:bidi w:val="0"/>
        <w:adjustRightInd w:val="0"/>
        <w:snapToGrid w:val="0"/>
        <w:spacing w:line="320" w:lineRule="exact"/>
        <w:ind w:right="-11" w:firstLine="360" w:firstLineChars="150"/>
        <w:textAlignment w:val="auto"/>
        <w:rPr>
          <w:rFonts w:ascii="宋体" w:hAnsi="宋体"/>
          <w:sz w:val="24"/>
        </w:rPr>
      </w:pPr>
      <w:r>
        <w:rPr>
          <w:rFonts w:hint="eastAsia" w:ascii="宋体" w:hAnsi="宋体"/>
          <w:sz w:val="24"/>
        </w:rPr>
        <w:t>3、本评标办法的解释权属于采购人</w:t>
      </w:r>
      <w:r>
        <w:rPr>
          <w:rFonts w:hint="eastAsia" w:ascii="宋体" w:hAnsi="宋体"/>
          <w:bCs/>
          <w:sz w:val="24"/>
        </w:rPr>
        <w:t>。</w:t>
      </w:r>
    </w:p>
    <w:p>
      <w:pPr>
        <w:keepNext/>
        <w:keepLines/>
        <w:pageBreakBefore w:val="0"/>
        <w:wordWrap/>
        <w:topLinePunct w:val="0"/>
        <w:bidi w:val="0"/>
        <w:spacing w:line="320" w:lineRule="exact"/>
        <w:textAlignment w:val="auto"/>
        <w:outlineLvl w:val="0"/>
        <w:rPr>
          <w:rFonts w:ascii="黑体" w:hAnsi="宋体" w:eastAsia="黑体"/>
          <w:b/>
          <w:bCs/>
          <w:kern w:val="44"/>
          <w:sz w:val="28"/>
          <w:szCs w:val="28"/>
        </w:rPr>
      </w:pPr>
      <w:r>
        <w:rPr>
          <w:rFonts w:hint="eastAsia" w:ascii="黑体" w:hAnsi="宋体" w:eastAsia="黑体"/>
          <w:kern w:val="44"/>
          <w:sz w:val="24"/>
        </w:rPr>
        <w:br w:type="page"/>
      </w:r>
      <w:bookmarkStart w:id="1" w:name="_Toc441851142"/>
      <w:bookmarkEnd w:id="1"/>
      <w:bookmarkStart w:id="2" w:name="_Toc441851143"/>
      <w:r>
        <w:rPr>
          <w:rFonts w:hint="eastAsia" w:ascii="黑体" w:hAnsi="宋体" w:eastAsia="黑体"/>
          <w:kern w:val="44"/>
          <w:sz w:val="24"/>
        </w:rPr>
        <w:t xml:space="preserve">                              </w:t>
      </w:r>
      <w:r>
        <w:rPr>
          <w:rFonts w:hint="eastAsia" w:ascii="宋体" w:hAnsi="宋体"/>
          <w:b/>
          <w:bCs/>
          <w:kern w:val="44"/>
          <w:sz w:val="28"/>
          <w:szCs w:val="28"/>
        </w:rPr>
        <w:t>投标人须知</w:t>
      </w:r>
      <w:bookmarkEnd w:id="2"/>
    </w:p>
    <w:p>
      <w:pPr>
        <w:pageBreakBefore w:val="0"/>
        <w:wordWrap/>
        <w:topLinePunct w:val="0"/>
        <w:bidi w:val="0"/>
        <w:spacing w:line="320" w:lineRule="exact"/>
        <w:ind w:firstLine="120" w:firstLineChars="50"/>
        <w:textAlignment w:val="auto"/>
        <w:rPr>
          <w:rFonts w:ascii="宋体" w:hAnsi="宋体"/>
          <w:b/>
          <w:sz w:val="24"/>
        </w:rPr>
      </w:pPr>
      <w:bookmarkStart w:id="3" w:name="_Hlt509649998"/>
      <w:bookmarkEnd w:id="3"/>
      <w:bookmarkStart w:id="4" w:name="_Hlt509650955"/>
      <w:bookmarkEnd w:id="4"/>
      <w:bookmarkStart w:id="5" w:name="_Hlt509649722"/>
      <w:bookmarkEnd w:id="5"/>
      <w:bookmarkStart w:id="6" w:name="_Hlt509650686"/>
      <w:bookmarkEnd w:id="6"/>
      <w:bookmarkStart w:id="7" w:name="_Hlt509650126"/>
      <w:bookmarkEnd w:id="7"/>
      <w:bookmarkStart w:id="8" w:name="_Hlt526418143"/>
      <w:bookmarkEnd w:id="8"/>
      <w:r>
        <w:rPr>
          <w:rFonts w:hint="eastAsia" w:ascii="宋体" w:hAnsi="宋体"/>
          <w:b/>
          <w:sz w:val="24"/>
        </w:rPr>
        <w:t>一、适用范围</w:t>
      </w:r>
    </w:p>
    <w:p>
      <w:pPr>
        <w:pageBreakBefore w:val="0"/>
        <w:wordWrap/>
        <w:topLinePunct w:val="0"/>
        <w:bidi w:val="0"/>
        <w:spacing w:line="320" w:lineRule="exact"/>
        <w:ind w:firstLine="550"/>
        <w:textAlignment w:val="auto"/>
        <w:rPr>
          <w:rFonts w:ascii="宋体" w:hAnsi="宋体"/>
          <w:sz w:val="24"/>
        </w:rPr>
      </w:pPr>
      <w:r>
        <w:rPr>
          <w:rFonts w:hint="eastAsia" w:ascii="宋体" w:hAnsi="宋体"/>
          <w:sz w:val="24"/>
        </w:rPr>
        <w:t>本招标文件仅适用于本次公开招标所述的货物项目采购。</w:t>
      </w:r>
    </w:p>
    <w:p>
      <w:pPr>
        <w:pageBreakBefore w:val="0"/>
        <w:wordWrap/>
        <w:topLinePunct w:val="0"/>
        <w:bidi w:val="0"/>
        <w:spacing w:line="320" w:lineRule="exact"/>
        <w:ind w:firstLine="120" w:firstLineChars="50"/>
        <w:textAlignment w:val="auto"/>
        <w:rPr>
          <w:rFonts w:ascii="宋体" w:hAnsi="宋体"/>
          <w:b/>
          <w:sz w:val="24"/>
        </w:rPr>
      </w:pPr>
      <w:r>
        <w:rPr>
          <w:rFonts w:hint="eastAsia" w:ascii="宋体" w:hAnsi="宋体"/>
          <w:b/>
          <w:sz w:val="24"/>
        </w:rPr>
        <w:t>二、有关定义</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1、采购人：系指本次采购项目的业主方。</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2、投标人：系指按规定获取了本招标文件，且已经提交或准备提交本次投标文件的制造商、供应商或服务商。</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 xml:space="preserve">3、货物：系指各种形态和种类的物品，包括原材料、燃料、设备、产品等，包括与之相关的备品备件、工具、手册及安装、调试、技术协助、校准、培训、售后服务等。招标文件中没有提及采购货物来源地的，根据《中华人民共和国政府采购法》的相关规定均应是本国货物，优先采购节能、环保产品。如涉及政府强制采购节能产品，必须在财政部公布的强制采购产品清单范围内选择适用产品。投标的货物必须是合法生产的符合国家有关标准要求的货物，投标人必须将要所有设备逐项对应描述投标货物规格、参数、质量、价格、有效期、售后服务要求填写响应表，否则视为废标。 </w:t>
      </w:r>
    </w:p>
    <w:p>
      <w:pPr>
        <w:pageBreakBefore w:val="0"/>
        <w:wordWrap/>
        <w:topLinePunct w:val="0"/>
        <w:bidi w:val="0"/>
        <w:spacing w:line="320" w:lineRule="exact"/>
        <w:ind w:firstLine="550"/>
        <w:textAlignment w:val="auto"/>
        <w:rPr>
          <w:rFonts w:ascii="宋体" w:hAnsi="宋体"/>
          <w:sz w:val="24"/>
        </w:rPr>
      </w:pPr>
      <w:r>
        <w:rPr>
          <w:rFonts w:hint="eastAsia" w:ascii="宋体" w:hAnsi="宋体"/>
          <w:sz w:val="24"/>
        </w:rPr>
        <w:t>本招标文件所采购的货物、产品、配件等全部标的，均应是全新、未使用过的，是完全符合相应质量标准的原装正品。无论招标文件是否列明，投标人所提供的货物、产品、配件均须符合国家产品质量、安全、卫生、环保、检疫检验、生产经营许可等现行法律法规的规定，且在投标时已具备，否则投标无效。本招标文件所要求的证书、认证、资质，均应当是有权机构颁发，且在有效期内的。</w:t>
      </w:r>
    </w:p>
    <w:p>
      <w:pPr>
        <w:pageBreakBefore w:val="0"/>
        <w:wordWrap/>
        <w:topLinePunct w:val="0"/>
        <w:bidi w:val="0"/>
        <w:spacing w:line="320" w:lineRule="exact"/>
        <w:ind w:firstLine="360" w:firstLineChars="150"/>
        <w:textAlignment w:val="auto"/>
        <w:rPr>
          <w:rFonts w:hint="eastAsia" w:ascii="宋体" w:hAnsi="宋体"/>
          <w:sz w:val="24"/>
        </w:rPr>
      </w:pPr>
      <w:r>
        <w:rPr>
          <w:rFonts w:hint="eastAsia" w:ascii="宋体" w:hAnsi="宋体"/>
          <w:sz w:val="24"/>
        </w:rPr>
        <w:t>4、近X（这里的X应该填具体数字）年内：系指从开标之日向前追溯</w:t>
      </w:r>
      <w:r>
        <w:rPr>
          <w:rFonts w:hint="eastAsia" w:ascii="宋体" w:hAnsi="宋体"/>
          <w:color w:val="FF0000"/>
          <w:sz w:val="24"/>
        </w:rPr>
        <w:t>X</w:t>
      </w:r>
      <w:r>
        <w:rPr>
          <w:rFonts w:hint="eastAsia" w:ascii="宋体" w:hAnsi="宋体"/>
          <w:sz w:val="24"/>
        </w:rPr>
        <w:t>年（“</w:t>
      </w:r>
      <w:r>
        <w:rPr>
          <w:rFonts w:hint="eastAsia" w:ascii="宋体" w:hAnsi="宋体"/>
          <w:color w:val="FF0000"/>
          <w:sz w:val="24"/>
        </w:rPr>
        <w:t>X</w:t>
      </w:r>
      <w:r>
        <w:rPr>
          <w:rFonts w:hint="eastAsia" w:ascii="宋体" w:hAnsi="宋体"/>
          <w:sz w:val="24"/>
        </w:rPr>
        <w:t>”为“一”及以后整数）起算。除非本招标文件另有规定，否则均以合同签订之日为追溯结点。</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5、业绩：系指符合本招标文件规定且已供货（安装）完毕的与最终用户(“最终用户”系指合同项目的建设方或由建设方确定的承包方)签订的合同及招标文件要求的相关证明。投标人与其关联公司（如母公司、控股公司、参股公司、分公司、子公司、同一法定代表人的公司等）之间签订的合同，均不予认可。</w:t>
      </w:r>
    </w:p>
    <w:p>
      <w:pPr>
        <w:pageBreakBefore w:val="0"/>
        <w:wordWrap/>
        <w:topLinePunct w:val="0"/>
        <w:bidi w:val="0"/>
        <w:spacing w:line="320" w:lineRule="exact"/>
        <w:textAlignment w:val="auto"/>
        <w:rPr>
          <w:rFonts w:ascii="宋体" w:hAnsi="宋体"/>
          <w:b/>
          <w:sz w:val="24"/>
        </w:rPr>
      </w:pPr>
      <w:r>
        <w:rPr>
          <w:rFonts w:hint="eastAsia" w:ascii="宋体" w:hAnsi="宋体"/>
          <w:b/>
          <w:sz w:val="24"/>
        </w:rPr>
        <w:t>三、投标费用</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无论投标结果如何，投标人应自行承担其编制与递交投标文件所涉及的一切费用。</w:t>
      </w:r>
    </w:p>
    <w:p>
      <w:pPr>
        <w:pageBreakBefore w:val="0"/>
        <w:wordWrap/>
        <w:topLinePunct w:val="0"/>
        <w:bidi w:val="0"/>
        <w:spacing w:line="320" w:lineRule="exact"/>
        <w:textAlignment w:val="auto"/>
        <w:rPr>
          <w:rFonts w:ascii="宋体" w:hAnsi="宋体"/>
          <w:b/>
          <w:bCs/>
          <w:sz w:val="24"/>
        </w:rPr>
      </w:pPr>
      <w:r>
        <w:rPr>
          <w:rFonts w:hint="eastAsia" w:ascii="宋体" w:hAnsi="宋体"/>
          <w:b/>
          <w:bCs/>
          <w:sz w:val="24"/>
        </w:rPr>
        <w:t>四、合格的投标人</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1、投标人须符合《中华人民共和国政府采购法》的规定条件；</w:t>
      </w:r>
    </w:p>
    <w:p>
      <w:pPr>
        <w:pageBreakBefore w:val="0"/>
        <w:wordWrap/>
        <w:topLinePunct w:val="0"/>
        <w:bidi w:val="0"/>
        <w:spacing w:line="320" w:lineRule="exact"/>
        <w:ind w:firstLine="360" w:firstLineChars="150"/>
        <w:textAlignment w:val="auto"/>
        <w:rPr>
          <w:sz w:val="24"/>
        </w:rPr>
      </w:pPr>
      <w:r>
        <w:rPr>
          <w:rFonts w:hint="eastAsia" w:ascii="宋体" w:hAnsi="宋体"/>
          <w:sz w:val="24"/>
        </w:rPr>
        <w:t>2、注册于中华人民共和国境内，具有独立承担民事责任的法人或其他组织；</w:t>
      </w:r>
    </w:p>
    <w:p>
      <w:pPr>
        <w:pageBreakBefore w:val="0"/>
        <w:wordWrap/>
        <w:topLinePunct w:val="0"/>
        <w:bidi w:val="0"/>
        <w:spacing w:line="320" w:lineRule="exact"/>
        <w:ind w:firstLine="360" w:firstLineChars="150"/>
        <w:textAlignment w:val="auto"/>
        <w:rPr>
          <w:rFonts w:ascii="Calibri" w:hAnsi="Calibri"/>
          <w:sz w:val="24"/>
        </w:rPr>
      </w:pPr>
      <w:r>
        <w:rPr>
          <w:rFonts w:hint="eastAsia" w:ascii="宋体" w:hAnsi="宋体"/>
          <w:sz w:val="24"/>
        </w:rPr>
        <w:t>3、具有良好的商业信誉和健全的财务会计制度，经营活动中没有违法记录；</w:t>
      </w:r>
    </w:p>
    <w:p>
      <w:pPr>
        <w:pageBreakBefore w:val="0"/>
        <w:widowControl/>
        <w:wordWrap/>
        <w:topLinePunct w:val="0"/>
        <w:bidi w:val="0"/>
        <w:snapToGrid w:val="0"/>
        <w:spacing w:line="320" w:lineRule="exact"/>
        <w:ind w:firstLine="360" w:firstLineChars="150"/>
        <w:textAlignment w:val="auto"/>
        <w:rPr>
          <w:rFonts w:ascii="宋体" w:hAnsi="宋体" w:cs="宋体"/>
          <w:sz w:val="24"/>
        </w:rPr>
      </w:pPr>
      <w:r>
        <w:rPr>
          <w:rFonts w:hint="eastAsia" w:ascii="宋体" w:hAnsi="宋体" w:cs="宋体"/>
          <w:sz w:val="24"/>
        </w:rPr>
        <w:t>4、</w:t>
      </w:r>
      <w:r>
        <w:rPr>
          <w:rFonts w:hint="eastAsia" w:ascii="宋体" w:hAnsi="宋体"/>
          <w:kern w:val="0"/>
          <w:sz w:val="24"/>
        </w:rPr>
        <w:t>投标人具有独立法人资格</w:t>
      </w:r>
      <w:r>
        <w:rPr>
          <w:rFonts w:hint="eastAsia" w:ascii="宋体" w:hAnsi="宋体" w:cs="宋体"/>
          <w:sz w:val="24"/>
        </w:rPr>
        <w:t>，有能力提供招标货物及服务的国内代理商或制造商，具有有效的营业执照、组织机构代码证、税务登记证（三证合一的可仅提供营业执照）；</w:t>
      </w:r>
    </w:p>
    <w:p>
      <w:pPr>
        <w:pageBreakBefore w:val="0"/>
        <w:widowControl/>
        <w:wordWrap/>
        <w:topLinePunct w:val="0"/>
        <w:bidi w:val="0"/>
        <w:snapToGrid w:val="0"/>
        <w:spacing w:line="320" w:lineRule="exact"/>
        <w:ind w:firstLine="360" w:firstLineChars="150"/>
        <w:textAlignment w:val="auto"/>
        <w:rPr>
          <w:rFonts w:ascii="宋体" w:hAnsi="宋体" w:cs="宋体"/>
          <w:sz w:val="24"/>
        </w:rPr>
      </w:pPr>
      <w:r>
        <w:rPr>
          <w:rFonts w:hint="eastAsia" w:ascii="宋体" w:hAnsi="宋体" w:cs="宋体"/>
          <w:sz w:val="24"/>
        </w:rPr>
        <w:t>5、若为代理商投标，则需提供制造商为其出具的授权书原件（扫描件、复印件无效），或在中标后，签合同前提供；</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6、本项目不接受联合体投标，采用资格后审；</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7、单位负责人为同一人或有夫妻、直系亲属关系或者存在控股、管理关系的不同单位，不得参加同一标包或者未划分标段的同一项目招标；</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8、在“信用中国”网址（https://www.creditchina.gov.cn/home/）和“中国政府采购网”网址（http://www.ccgp.gov.cn/search/cr/）查询，存在以下不良信用记录情形之一的，不得推荐为成交候选人和成交人：</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（1）被人民法院列入失信被执行人的；</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（2）被工商行政管理部门列入企业经营异常名录的；</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（3）被税务部门列入重大税收违法案件当事人名单的；</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（4）被政府采购监管部门列入政府采购严重违法失信行为记录名单的；</w:t>
      </w:r>
    </w:p>
    <w:p>
      <w:pPr>
        <w:pageBreakBefore w:val="0"/>
        <w:wordWrap/>
        <w:topLinePunct w:val="0"/>
        <w:autoSpaceDE w:val="0"/>
        <w:autoSpaceDN w:val="0"/>
        <w:bidi w:val="0"/>
        <w:adjustRightInd w:val="0"/>
        <w:spacing w:line="320" w:lineRule="exact"/>
        <w:ind w:firstLine="360" w:firstLineChars="150"/>
        <w:jc w:val="left"/>
        <w:textAlignment w:val="auto"/>
        <w:rPr>
          <w:rFonts w:ascii="宋体" w:hAnsi="宋体" w:cs="宋体"/>
          <w:sz w:val="24"/>
        </w:rPr>
      </w:pPr>
      <w:r>
        <w:rPr>
          <w:rFonts w:hint="eastAsia" w:ascii="宋体" w:hAnsi="宋体" w:cs="宋体"/>
          <w:sz w:val="24"/>
        </w:rPr>
        <w:t>9、投标单位务必提供所投产品彩页原件和近年相关或相近业绩，以及招标文件所提要求和技术参数的响应表。</w:t>
      </w:r>
    </w:p>
    <w:p>
      <w:pPr>
        <w:pStyle w:val="3"/>
        <w:pageBreakBefore w:val="0"/>
        <w:kinsoku w:val="0"/>
        <w:wordWrap/>
        <w:overflowPunct w:val="0"/>
        <w:topLinePunct w:val="0"/>
        <w:bidi w:val="0"/>
        <w:spacing w:after="0" w:line="320" w:lineRule="exact"/>
        <w:ind w:right="1794"/>
        <w:textAlignment w:val="auto"/>
        <w:rPr>
          <w:b/>
          <w:sz w:val="24"/>
        </w:rPr>
      </w:pPr>
      <w:r>
        <w:rPr>
          <w:rFonts w:hint="eastAsia"/>
          <w:b/>
          <w:spacing w:val="15"/>
          <w:sz w:val="24"/>
        </w:rPr>
        <w:t>五、供应商必须提交的响应文件</w:t>
      </w:r>
      <w:r>
        <w:rPr>
          <w:rFonts w:hint="eastAsia"/>
          <w:b/>
          <w:spacing w:val="12"/>
          <w:sz w:val="24"/>
        </w:rPr>
        <w:t>内</w:t>
      </w:r>
      <w:r>
        <w:rPr>
          <w:rFonts w:hint="eastAsia"/>
          <w:b/>
          <w:spacing w:val="15"/>
          <w:sz w:val="24"/>
        </w:rPr>
        <w:t>容</w:t>
      </w:r>
      <w:r>
        <w:rPr>
          <w:rFonts w:hint="eastAsia"/>
          <w:b/>
          <w:sz w:val="24"/>
        </w:rPr>
        <w:t xml:space="preserve"> </w:t>
      </w:r>
    </w:p>
    <w:p>
      <w:pPr>
        <w:pStyle w:val="3"/>
        <w:pageBreakBefore w:val="0"/>
        <w:kinsoku w:val="0"/>
        <w:wordWrap/>
        <w:overflowPunct w:val="0"/>
        <w:topLinePunct w:val="0"/>
        <w:bidi w:val="0"/>
        <w:spacing w:after="0" w:line="320" w:lineRule="exact"/>
        <w:ind w:right="1794" w:firstLine="240" w:firstLineChars="1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、报价单</w:t>
      </w:r>
      <w:r>
        <w:rPr>
          <w:rFonts w:hint="eastAsia" w:ascii="宋体" w:hAnsi="宋体" w:eastAsia="宋体" w:cs="宋体"/>
          <w:spacing w:val="-1"/>
          <w:sz w:val="24"/>
        </w:rPr>
        <w:t>；</w:t>
      </w:r>
      <w:r>
        <w:rPr>
          <w:rFonts w:hint="eastAsia" w:ascii="宋体" w:hAnsi="宋体" w:eastAsia="宋体" w:cs="宋体"/>
          <w:sz w:val="24"/>
        </w:rPr>
        <w:t xml:space="preserve"> </w:t>
      </w:r>
    </w:p>
    <w:p>
      <w:pPr>
        <w:pStyle w:val="3"/>
        <w:pageBreakBefore w:val="0"/>
        <w:kinsoku w:val="0"/>
        <w:wordWrap/>
        <w:overflowPunct w:val="0"/>
        <w:topLinePunct w:val="0"/>
        <w:bidi w:val="0"/>
        <w:spacing w:after="0" w:line="320" w:lineRule="exact"/>
        <w:ind w:firstLine="240" w:firstLineChars="100"/>
        <w:textAlignment w:val="auto"/>
        <w:rPr>
          <w:rFonts w:hint="eastAsia" w:ascii="宋体" w:hAnsi="宋体" w:eastAsia="宋体" w:cs="宋体"/>
          <w:sz w:val="24"/>
        </w:rPr>
      </w:pPr>
      <w:r>
        <w:rPr>
          <w:rFonts w:hint="eastAsia" w:ascii="宋体" w:hAnsi="宋体" w:eastAsia="宋体" w:cs="宋体"/>
          <w:sz w:val="24"/>
        </w:rPr>
        <w:t>2、供应商基本信息</w:t>
      </w:r>
      <w:r>
        <w:rPr>
          <w:rFonts w:hint="eastAsia" w:ascii="宋体" w:hAnsi="宋体" w:eastAsia="宋体" w:cs="宋体"/>
          <w:spacing w:val="-1"/>
          <w:sz w:val="24"/>
        </w:rPr>
        <w:t>；</w:t>
      </w:r>
      <w:r>
        <w:rPr>
          <w:rFonts w:hint="eastAsia" w:ascii="宋体" w:hAnsi="宋体" w:eastAsia="宋体" w:cs="宋体"/>
          <w:sz w:val="24"/>
        </w:rPr>
        <w:t xml:space="preserve"> </w:t>
      </w:r>
    </w:p>
    <w:p>
      <w:pPr>
        <w:pStyle w:val="3"/>
        <w:pageBreakBefore w:val="0"/>
        <w:kinsoku w:val="0"/>
        <w:wordWrap/>
        <w:overflowPunct w:val="0"/>
        <w:topLinePunct w:val="0"/>
        <w:bidi w:val="0"/>
        <w:spacing w:after="0" w:line="320" w:lineRule="exact"/>
        <w:ind w:firstLine="240" w:firstLineChars="100"/>
        <w:textAlignment w:val="auto"/>
        <w:rPr>
          <w:rFonts w:hint="eastAsia" w:ascii="宋体" w:hAnsi="宋体" w:eastAsia="宋体" w:cs="宋体"/>
          <w:sz w:val="24"/>
        </w:rPr>
      </w:pPr>
      <w:r>
        <w:rPr>
          <w:rFonts w:hint="eastAsia" w:ascii="宋体" w:hAnsi="宋体" w:eastAsia="宋体" w:cs="宋体"/>
          <w:sz w:val="24"/>
        </w:rPr>
        <w:t>3、投标授权书</w:t>
      </w:r>
      <w:r>
        <w:rPr>
          <w:rFonts w:hint="eastAsia" w:ascii="宋体" w:hAnsi="宋体" w:eastAsia="宋体" w:cs="宋体"/>
          <w:spacing w:val="-1"/>
          <w:sz w:val="24"/>
        </w:rPr>
        <w:t>；</w:t>
      </w:r>
      <w:r>
        <w:rPr>
          <w:rFonts w:hint="eastAsia" w:ascii="宋体" w:hAnsi="宋体" w:eastAsia="宋体" w:cs="宋体"/>
          <w:sz w:val="24"/>
        </w:rPr>
        <w:t xml:space="preserve"> </w:t>
      </w:r>
    </w:p>
    <w:p>
      <w:pPr>
        <w:pStyle w:val="3"/>
        <w:pageBreakBefore w:val="0"/>
        <w:kinsoku w:val="0"/>
        <w:wordWrap/>
        <w:overflowPunct w:val="0"/>
        <w:topLinePunct w:val="0"/>
        <w:bidi w:val="0"/>
        <w:spacing w:after="0" w:line="320" w:lineRule="exact"/>
        <w:ind w:firstLine="240" w:firstLineChars="100"/>
        <w:textAlignment w:val="auto"/>
        <w:rPr>
          <w:rFonts w:hint="eastAsia" w:ascii="宋体" w:hAnsi="宋体" w:eastAsia="宋体" w:cs="宋体"/>
          <w:sz w:val="24"/>
        </w:rPr>
      </w:pPr>
      <w:r>
        <w:rPr>
          <w:rFonts w:hint="eastAsia" w:ascii="宋体" w:hAnsi="宋体" w:eastAsia="宋体" w:cs="宋体"/>
          <w:sz w:val="24"/>
        </w:rPr>
        <w:t>4、无重大违法记录声明函、无不良信用记录承诺函</w:t>
      </w:r>
      <w:r>
        <w:rPr>
          <w:rFonts w:hint="eastAsia" w:ascii="宋体" w:hAnsi="宋体" w:eastAsia="宋体" w:cs="宋体"/>
          <w:spacing w:val="-4"/>
          <w:sz w:val="24"/>
        </w:rPr>
        <w:t>；</w:t>
      </w:r>
      <w:r>
        <w:rPr>
          <w:rFonts w:hint="eastAsia" w:ascii="宋体" w:hAnsi="宋体" w:eastAsia="宋体" w:cs="宋体"/>
          <w:sz w:val="24"/>
        </w:rPr>
        <w:t xml:space="preserve"> </w:t>
      </w:r>
    </w:p>
    <w:p>
      <w:pPr>
        <w:pStyle w:val="3"/>
        <w:pageBreakBefore w:val="0"/>
        <w:kinsoku w:val="0"/>
        <w:wordWrap/>
        <w:overflowPunct w:val="0"/>
        <w:topLinePunct w:val="0"/>
        <w:bidi w:val="0"/>
        <w:spacing w:after="0" w:line="320" w:lineRule="exact"/>
        <w:ind w:firstLine="240" w:firstLineChars="100"/>
        <w:textAlignment w:val="auto"/>
        <w:rPr>
          <w:rFonts w:hint="eastAsia" w:ascii="宋体" w:hAnsi="宋体" w:eastAsia="宋体" w:cs="宋体"/>
          <w:sz w:val="24"/>
        </w:rPr>
      </w:pPr>
      <w:r>
        <w:rPr>
          <w:rFonts w:hint="eastAsia" w:ascii="宋体" w:hAnsi="宋体" w:eastAsia="宋体" w:cs="宋体"/>
          <w:sz w:val="24"/>
        </w:rPr>
        <w:t>5、响应情况表(所投设备的具体参数必须要体现出来) ；</w:t>
      </w:r>
    </w:p>
    <w:p>
      <w:pPr>
        <w:pStyle w:val="3"/>
        <w:pageBreakBefore w:val="0"/>
        <w:kinsoku w:val="0"/>
        <w:wordWrap/>
        <w:overflowPunct w:val="0"/>
        <w:topLinePunct w:val="0"/>
        <w:bidi w:val="0"/>
        <w:spacing w:after="0" w:line="320" w:lineRule="exact"/>
        <w:ind w:firstLine="240" w:firstLineChars="100"/>
        <w:textAlignment w:val="auto"/>
        <w:rPr>
          <w:rFonts w:hint="eastAsia" w:ascii="宋体" w:hAnsi="宋体" w:eastAsia="宋体" w:cs="宋体"/>
          <w:sz w:val="24"/>
        </w:rPr>
      </w:pPr>
      <w:r>
        <w:rPr>
          <w:rFonts w:hint="eastAsia" w:ascii="宋体" w:hAnsi="宋体" w:eastAsia="宋体" w:cs="宋体"/>
          <w:sz w:val="24"/>
        </w:rPr>
        <w:t>6、相关服务承诺函</w:t>
      </w:r>
      <w:r>
        <w:rPr>
          <w:rFonts w:hint="eastAsia" w:ascii="宋体" w:hAnsi="宋体" w:eastAsia="宋体" w:cs="宋体"/>
          <w:spacing w:val="-1"/>
          <w:sz w:val="24"/>
        </w:rPr>
        <w:t>；</w:t>
      </w:r>
      <w:r>
        <w:rPr>
          <w:rFonts w:hint="eastAsia" w:ascii="宋体" w:hAnsi="宋体" w:eastAsia="宋体" w:cs="宋体"/>
          <w:sz w:val="24"/>
        </w:rPr>
        <w:t xml:space="preserve"> </w:t>
      </w:r>
    </w:p>
    <w:p>
      <w:pPr>
        <w:pStyle w:val="3"/>
        <w:pageBreakBefore w:val="0"/>
        <w:kinsoku w:val="0"/>
        <w:wordWrap/>
        <w:overflowPunct w:val="0"/>
        <w:topLinePunct w:val="0"/>
        <w:bidi w:val="0"/>
        <w:spacing w:after="0" w:line="320" w:lineRule="exact"/>
        <w:ind w:firstLine="240" w:firstLineChars="100"/>
        <w:textAlignment w:val="auto"/>
        <w:rPr>
          <w:rFonts w:hint="eastAsia" w:ascii="宋体" w:hAnsi="宋体" w:eastAsia="宋体" w:cs="宋体"/>
          <w:sz w:val="24"/>
        </w:rPr>
      </w:pPr>
      <w:r>
        <w:rPr>
          <w:rFonts w:hint="eastAsia" w:ascii="宋体" w:hAnsi="宋体" w:eastAsia="宋体" w:cs="宋体"/>
          <w:sz w:val="24"/>
        </w:rPr>
        <w:t>7、业绩合同</w:t>
      </w:r>
      <w:r>
        <w:rPr>
          <w:rFonts w:hint="eastAsia" w:ascii="宋体" w:hAnsi="宋体" w:eastAsia="宋体" w:cs="宋体"/>
          <w:spacing w:val="-5"/>
          <w:sz w:val="24"/>
        </w:rPr>
        <w:t>；</w:t>
      </w:r>
      <w:r>
        <w:rPr>
          <w:rFonts w:hint="eastAsia" w:ascii="宋体" w:hAnsi="宋体" w:eastAsia="宋体" w:cs="宋体"/>
          <w:sz w:val="24"/>
        </w:rPr>
        <w:t xml:space="preserve"> </w:t>
      </w:r>
    </w:p>
    <w:p>
      <w:pPr>
        <w:pStyle w:val="3"/>
        <w:pageBreakBefore w:val="0"/>
        <w:kinsoku w:val="0"/>
        <w:wordWrap/>
        <w:overflowPunct w:val="0"/>
        <w:topLinePunct w:val="0"/>
        <w:bidi w:val="0"/>
        <w:spacing w:after="0" w:line="320" w:lineRule="exact"/>
        <w:ind w:firstLine="240" w:firstLineChars="100"/>
        <w:textAlignment w:val="auto"/>
        <w:rPr>
          <w:rFonts w:hint="eastAsia" w:ascii="宋体" w:hAnsi="宋体" w:eastAsia="宋体" w:cs="宋体"/>
          <w:sz w:val="24"/>
        </w:rPr>
      </w:pPr>
      <w:r>
        <w:rPr>
          <w:rFonts w:hint="eastAsia" w:ascii="宋体" w:hAnsi="宋体" w:eastAsia="宋体" w:cs="宋体"/>
          <w:sz w:val="24"/>
        </w:rPr>
        <w:t>8、响应承诺</w:t>
      </w:r>
      <w:r>
        <w:rPr>
          <w:rFonts w:hint="eastAsia" w:ascii="宋体" w:hAnsi="宋体" w:eastAsia="宋体" w:cs="宋体"/>
          <w:spacing w:val="-1"/>
          <w:sz w:val="24"/>
        </w:rPr>
        <w:t>书</w:t>
      </w:r>
      <w:r>
        <w:rPr>
          <w:rFonts w:hint="eastAsia" w:ascii="宋体" w:hAnsi="宋体" w:eastAsia="宋体" w:cs="宋体"/>
          <w:sz w:val="24"/>
        </w:rPr>
        <w:t>；</w:t>
      </w:r>
    </w:p>
    <w:p>
      <w:pPr>
        <w:pStyle w:val="3"/>
        <w:pageBreakBefore w:val="0"/>
        <w:kinsoku w:val="0"/>
        <w:wordWrap/>
        <w:overflowPunct w:val="0"/>
        <w:topLinePunct w:val="0"/>
        <w:bidi w:val="0"/>
        <w:spacing w:after="0" w:line="320" w:lineRule="exact"/>
        <w:ind w:firstLine="240" w:firstLineChars="100"/>
        <w:textAlignment w:val="auto"/>
        <w:rPr>
          <w:sz w:val="24"/>
        </w:rPr>
      </w:pPr>
      <w:r>
        <w:rPr>
          <w:rFonts w:hint="eastAsia"/>
          <w:sz w:val="24"/>
        </w:rPr>
        <w:t>9、招标文件要求和供应商认为需要提供的其它说明和资料。</w:t>
      </w:r>
    </w:p>
    <w:p>
      <w:pPr>
        <w:pageBreakBefore w:val="0"/>
        <w:wordWrap/>
        <w:topLinePunct w:val="0"/>
        <w:autoSpaceDE w:val="0"/>
        <w:autoSpaceDN w:val="0"/>
        <w:bidi w:val="0"/>
        <w:adjustRightInd w:val="0"/>
        <w:spacing w:line="320" w:lineRule="exact"/>
        <w:jc w:val="left"/>
        <w:textAlignment w:val="auto"/>
        <w:rPr>
          <w:rFonts w:ascii="宋体" w:hAnsi="宋体" w:cs="宋体"/>
          <w:b/>
          <w:sz w:val="24"/>
        </w:rPr>
      </w:pPr>
      <w:r>
        <w:rPr>
          <w:rFonts w:hint="eastAsia" w:ascii="宋体" w:hAnsi="宋体" w:cs="宋体"/>
          <w:b/>
          <w:sz w:val="24"/>
        </w:rPr>
        <w:t>六、报价</w:t>
      </w:r>
    </w:p>
    <w:p>
      <w:pPr>
        <w:pageBreakBefore w:val="0"/>
        <w:wordWrap/>
        <w:topLinePunct w:val="0"/>
        <w:autoSpaceDE w:val="0"/>
        <w:autoSpaceDN w:val="0"/>
        <w:bidi w:val="0"/>
        <w:adjustRightInd w:val="0"/>
        <w:spacing w:line="320" w:lineRule="exact"/>
        <w:ind w:firstLine="319"/>
        <w:jc w:val="left"/>
        <w:textAlignment w:val="auto"/>
        <w:rPr>
          <w:rFonts w:ascii="宋体" w:hAnsi="宋体" w:cs="宋体"/>
          <w:sz w:val="24"/>
        </w:rPr>
      </w:pPr>
      <w:r>
        <w:rPr>
          <w:rFonts w:hint="eastAsia" w:ascii="宋体" w:hAnsi="宋体" w:cs="宋体"/>
          <w:sz w:val="24"/>
        </w:rPr>
        <w:t>1、投标人应按本招标文件内所有项目的单价报价（免费赠送的除外），并合计总价。否则将导致投标无效。</w:t>
      </w:r>
    </w:p>
    <w:p>
      <w:pPr>
        <w:pageBreakBefore w:val="0"/>
        <w:wordWrap/>
        <w:topLinePunct w:val="0"/>
        <w:autoSpaceDE w:val="0"/>
        <w:autoSpaceDN w:val="0"/>
        <w:bidi w:val="0"/>
        <w:adjustRightInd w:val="0"/>
        <w:spacing w:line="320" w:lineRule="exact"/>
        <w:ind w:firstLine="319"/>
        <w:jc w:val="left"/>
        <w:textAlignment w:val="auto"/>
        <w:rPr>
          <w:rFonts w:ascii="宋体" w:hAnsi="宋体" w:cs="宋体"/>
          <w:sz w:val="24"/>
        </w:rPr>
      </w:pPr>
      <w:r>
        <w:rPr>
          <w:rFonts w:hint="eastAsia" w:ascii="宋体" w:hAnsi="宋体" w:cs="宋体"/>
          <w:sz w:val="24"/>
        </w:rPr>
        <w:t>2、投标人的报价应包含所投货物、保险、税费、包装、加工及加工损耗、运输、现场落地、安装及安装损耗、调试、检测验收和交付后约定期限内免费维保等工作所发生的一切应有费用。最终报价为签订合同的依据。</w:t>
      </w:r>
    </w:p>
    <w:p>
      <w:pPr>
        <w:pageBreakBefore w:val="0"/>
        <w:wordWrap/>
        <w:topLinePunct w:val="0"/>
        <w:autoSpaceDE w:val="0"/>
        <w:autoSpaceDN w:val="0"/>
        <w:bidi w:val="0"/>
        <w:adjustRightInd w:val="0"/>
        <w:spacing w:line="320" w:lineRule="exact"/>
        <w:ind w:firstLine="319"/>
        <w:jc w:val="left"/>
        <w:textAlignment w:val="auto"/>
        <w:rPr>
          <w:rFonts w:ascii="宋体" w:hAnsi="宋体" w:cs="宋体"/>
          <w:sz w:val="24"/>
        </w:rPr>
      </w:pPr>
      <w:r>
        <w:rPr>
          <w:rFonts w:hint="eastAsia" w:ascii="宋体" w:hAnsi="宋体" w:cs="宋体"/>
          <w:sz w:val="24"/>
        </w:rPr>
        <w:t>3、报价应当低于同类货物和服务的市场平均价格。</w:t>
      </w:r>
    </w:p>
    <w:p>
      <w:pPr>
        <w:pageBreakBefore w:val="0"/>
        <w:wordWrap/>
        <w:topLinePunct w:val="0"/>
        <w:autoSpaceDE w:val="0"/>
        <w:autoSpaceDN w:val="0"/>
        <w:bidi w:val="0"/>
        <w:adjustRightInd w:val="0"/>
        <w:spacing w:line="320" w:lineRule="exact"/>
        <w:ind w:firstLine="319"/>
        <w:jc w:val="left"/>
        <w:textAlignment w:val="auto"/>
        <w:rPr>
          <w:rFonts w:ascii="宋体" w:hAnsi="宋体" w:cs="宋体"/>
          <w:sz w:val="24"/>
        </w:rPr>
      </w:pPr>
      <w:r>
        <w:rPr>
          <w:rFonts w:hint="eastAsia" w:ascii="宋体" w:hAnsi="宋体" w:cs="宋体"/>
          <w:sz w:val="24"/>
        </w:rPr>
        <w:t>4、采购人不建议投标人采用总价优惠或以总价百分比优惠的方式进行投标报价，其优惠可直接计算并体现在各项投标报价的单价中。</w:t>
      </w:r>
    </w:p>
    <w:p>
      <w:pPr>
        <w:pageBreakBefore w:val="0"/>
        <w:wordWrap/>
        <w:topLinePunct w:val="0"/>
        <w:autoSpaceDE w:val="0"/>
        <w:autoSpaceDN w:val="0"/>
        <w:bidi w:val="0"/>
        <w:adjustRightInd w:val="0"/>
        <w:spacing w:line="320" w:lineRule="exact"/>
        <w:ind w:firstLine="319"/>
        <w:jc w:val="left"/>
        <w:textAlignment w:val="auto"/>
        <w:rPr>
          <w:rFonts w:ascii="宋体" w:hAnsi="宋体" w:cs="宋体"/>
          <w:sz w:val="24"/>
        </w:rPr>
      </w:pPr>
      <w:r>
        <w:rPr>
          <w:rFonts w:hint="eastAsia" w:ascii="宋体" w:hAnsi="宋体" w:cs="宋体"/>
          <w:sz w:val="24"/>
        </w:rPr>
        <w:t>5、除非招标文件另有规定，报价一般按精确到小数点后两位计算。</w:t>
      </w:r>
    </w:p>
    <w:p>
      <w:pPr>
        <w:pageBreakBefore w:val="0"/>
        <w:wordWrap/>
        <w:topLinePunct w:val="0"/>
        <w:autoSpaceDE w:val="0"/>
        <w:autoSpaceDN w:val="0"/>
        <w:bidi w:val="0"/>
        <w:adjustRightInd w:val="0"/>
        <w:spacing w:line="320" w:lineRule="exact"/>
        <w:ind w:firstLine="319"/>
        <w:jc w:val="left"/>
        <w:textAlignment w:val="auto"/>
        <w:rPr>
          <w:rFonts w:ascii="宋体" w:hAnsi="宋体" w:cs="宋体"/>
          <w:sz w:val="24"/>
        </w:rPr>
      </w:pPr>
      <w:r>
        <w:rPr>
          <w:rFonts w:hint="eastAsia" w:ascii="宋体" w:hAnsi="宋体" w:cs="宋体"/>
          <w:sz w:val="24"/>
        </w:rPr>
        <w:t>6、除政策性文件规定以外，投标人所报价格在合同实施期间不因市场变化因素而变动。</w:t>
      </w:r>
    </w:p>
    <w:p>
      <w:pPr>
        <w:pageBreakBefore w:val="0"/>
        <w:wordWrap/>
        <w:topLinePunct w:val="0"/>
        <w:autoSpaceDE w:val="0"/>
        <w:autoSpaceDN w:val="0"/>
        <w:bidi w:val="0"/>
        <w:adjustRightInd w:val="0"/>
        <w:spacing w:line="320" w:lineRule="exact"/>
        <w:ind w:firstLine="319"/>
        <w:jc w:val="left"/>
        <w:textAlignment w:val="auto"/>
        <w:rPr>
          <w:rFonts w:ascii="宋体" w:hAnsi="宋体" w:cs="宋体"/>
          <w:sz w:val="24"/>
        </w:rPr>
      </w:pPr>
      <w:r>
        <w:rPr>
          <w:rFonts w:hint="eastAsia" w:ascii="宋体" w:hAnsi="宋体" w:cs="宋体"/>
          <w:sz w:val="24"/>
        </w:rPr>
        <w:t>7、对于进口产品的报价，投标人应报出CIP合肥的价格。本项目进口产品统一采用人民币报价。</w:t>
      </w:r>
    </w:p>
    <w:p>
      <w:pPr>
        <w:pageBreakBefore w:val="0"/>
        <w:wordWrap/>
        <w:topLinePunct w:val="0"/>
        <w:bidi w:val="0"/>
        <w:spacing w:line="320" w:lineRule="exact"/>
        <w:textAlignment w:val="auto"/>
        <w:rPr>
          <w:rFonts w:ascii="宋体" w:hAnsi="宋体"/>
          <w:b/>
          <w:sz w:val="24"/>
        </w:rPr>
      </w:pPr>
      <w:r>
        <w:rPr>
          <w:rFonts w:hint="eastAsia" w:ascii="宋体" w:hAnsi="宋体"/>
          <w:b/>
          <w:sz w:val="24"/>
        </w:rPr>
        <w:t>七、勘察现场</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1、投标人应自行对供货现场和周围环境进行勘察，以获取编制投标文件和签署合同所需的资料。勘察现场的方式、地址及联系方式见投标人须知前附表。</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2、勘察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3、除非有特殊要求，招标文件不单独提供供货使用地的自然环境、气候条件、公用设施等情况，投标人被视为熟悉上述与履行合同有关的一切情况。</w:t>
      </w:r>
    </w:p>
    <w:p>
      <w:pPr>
        <w:pageBreakBefore w:val="0"/>
        <w:wordWrap/>
        <w:topLinePunct w:val="0"/>
        <w:bidi w:val="0"/>
        <w:spacing w:line="320" w:lineRule="exact"/>
        <w:textAlignment w:val="auto"/>
        <w:rPr>
          <w:rFonts w:ascii="宋体" w:hAnsi="宋体"/>
          <w:bCs/>
          <w:sz w:val="24"/>
        </w:rPr>
      </w:pPr>
      <w:r>
        <w:rPr>
          <w:rFonts w:hint="eastAsia" w:ascii="宋体" w:hAnsi="宋体"/>
          <w:b/>
          <w:sz w:val="24"/>
        </w:rPr>
        <w:t>八、知识产权</w:t>
      </w:r>
    </w:p>
    <w:p>
      <w:pPr>
        <w:pageBreakBefore w:val="0"/>
        <w:wordWrap/>
        <w:topLinePunct w:val="0"/>
        <w:bidi w:val="0"/>
        <w:spacing w:line="320" w:lineRule="exact"/>
        <w:ind w:firstLine="360" w:firstLineChars="150"/>
        <w:textAlignment w:val="auto"/>
        <w:rPr>
          <w:rFonts w:ascii="宋体" w:hAnsi="宋体"/>
          <w:bCs/>
          <w:sz w:val="24"/>
        </w:rPr>
      </w:pPr>
      <w:r>
        <w:rPr>
          <w:rFonts w:hint="eastAsia" w:ascii="宋体" w:hAnsi="宋体"/>
          <w:sz w:val="24"/>
        </w:rPr>
        <w:t>1、</w:t>
      </w:r>
      <w:r>
        <w:rPr>
          <w:rFonts w:hint="eastAsia" w:ascii="宋体" w:hAnsi="宋体"/>
          <w:bCs/>
          <w:sz w:val="24"/>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rPr>
        <w:t>如因此导致采购人损失的，投标人须承担全部赔偿责任。</w:t>
      </w:r>
    </w:p>
    <w:p>
      <w:pPr>
        <w:pageBreakBefore w:val="0"/>
        <w:wordWrap/>
        <w:topLinePunct w:val="0"/>
        <w:bidi w:val="0"/>
        <w:spacing w:line="320" w:lineRule="exact"/>
        <w:ind w:firstLine="360" w:firstLineChars="150"/>
        <w:textAlignment w:val="auto"/>
        <w:rPr>
          <w:rFonts w:ascii="宋体" w:hAnsi="宋体"/>
          <w:bCs/>
          <w:sz w:val="24"/>
        </w:rPr>
      </w:pPr>
      <w:r>
        <w:rPr>
          <w:rFonts w:hint="eastAsia" w:ascii="宋体" w:hAnsi="宋体"/>
          <w:bCs/>
          <w:sz w:val="24"/>
        </w:rPr>
        <w:t>2、投标人如欲在项目实施过程中采用自有知识成果，须在投标文件中声明，并提供相关知识产权证明文件。使用该知识成果后，投标人须提供开发接口和开发手册等技术文档。</w:t>
      </w:r>
    </w:p>
    <w:p>
      <w:pPr>
        <w:pageBreakBefore w:val="0"/>
        <w:wordWrap/>
        <w:topLinePunct w:val="0"/>
        <w:bidi w:val="0"/>
        <w:spacing w:line="320" w:lineRule="exact"/>
        <w:textAlignment w:val="auto"/>
        <w:rPr>
          <w:rFonts w:ascii="宋体" w:hAnsi="宋体"/>
          <w:b/>
          <w:sz w:val="24"/>
        </w:rPr>
      </w:pPr>
      <w:r>
        <w:rPr>
          <w:rFonts w:hint="eastAsia" w:ascii="宋体" w:hAnsi="宋体"/>
          <w:b/>
          <w:sz w:val="24"/>
        </w:rPr>
        <w:t>九、纪律与保密</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1、投标人的投标行为应遵守中国的有关法律、法规和规章；</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2、投标人不得相互串通投标报价，不得妨碍其他投标人的公平竞争，不得损害采购人或其他投标人的合法权益，投标人不得以向采购人、评标委员会成员行贿或者采取其他不正当手段谋取中标；</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3、</w:t>
      </w:r>
      <w:r>
        <w:rPr>
          <w:rFonts w:hint="eastAsia"/>
          <w:sz w:val="24"/>
        </w:rPr>
        <w:t>供应商直接或者间接从采购人处获得其他供应商的相关情况并修改其投标文件或者响应文件</w:t>
      </w:r>
      <w:r>
        <w:rPr>
          <w:rFonts w:hint="eastAsia" w:ascii="宋体" w:hAnsi="宋体"/>
          <w:sz w:val="24"/>
        </w:rPr>
        <w:t>；</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4、</w:t>
      </w:r>
      <w:r>
        <w:rPr>
          <w:rFonts w:hint="eastAsia"/>
          <w:sz w:val="24"/>
        </w:rPr>
        <w:t>供应商按照采购人授意撤换、修改投标文件或者响应文件</w:t>
      </w:r>
      <w:r>
        <w:rPr>
          <w:rFonts w:hint="eastAsia" w:ascii="宋体" w:hAnsi="宋体"/>
          <w:sz w:val="24"/>
        </w:rPr>
        <w:t>；</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5、</w:t>
      </w:r>
      <w:r>
        <w:rPr>
          <w:rFonts w:hint="eastAsia"/>
          <w:sz w:val="24"/>
        </w:rPr>
        <w:t>供应商之间协商报价、技术方案等投标文件或者响应文件的实质性内容</w:t>
      </w:r>
      <w:r>
        <w:rPr>
          <w:rFonts w:hint="eastAsia" w:ascii="宋体" w:hAnsi="宋体"/>
          <w:sz w:val="24"/>
        </w:rPr>
        <w:t>；</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6、</w:t>
      </w:r>
      <w:r>
        <w:rPr>
          <w:rFonts w:hint="eastAsia"/>
          <w:sz w:val="24"/>
        </w:rPr>
        <w:t>属于同一集团、协会、商会等组织成员的供应商按照该组织要求协同参加政府采购活动</w:t>
      </w:r>
      <w:r>
        <w:rPr>
          <w:rFonts w:hint="eastAsia" w:ascii="宋体" w:hAnsi="宋体"/>
          <w:sz w:val="24"/>
        </w:rPr>
        <w:t>；</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7、</w:t>
      </w:r>
      <w:r>
        <w:rPr>
          <w:rFonts w:hint="eastAsia"/>
          <w:sz w:val="24"/>
        </w:rPr>
        <w:t>供应商之间事先约定由某一特定供应商中标、成交</w:t>
      </w:r>
      <w:r>
        <w:rPr>
          <w:rFonts w:hint="eastAsia" w:ascii="宋体" w:hAnsi="宋体"/>
          <w:sz w:val="24"/>
        </w:rPr>
        <w:t>。</w:t>
      </w:r>
    </w:p>
    <w:p>
      <w:pPr>
        <w:pageBreakBefore w:val="0"/>
        <w:wordWrap/>
        <w:topLinePunct w:val="0"/>
        <w:bidi w:val="0"/>
        <w:spacing w:line="320" w:lineRule="exact"/>
        <w:ind w:firstLine="360" w:firstLineChars="150"/>
        <w:textAlignment w:val="auto"/>
        <w:rPr>
          <w:sz w:val="24"/>
        </w:rPr>
      </w:pPr>
      <w:r>
        <w:rPr>
          <w:rFonts w:hint="eastAsia" w:ascii="宋体" w:hAnsi="宋体"/>
          <w:sz w:val="24"/>
        </w:rPr>
        <w:t>8、</w:t>
      </w:r>
      <w:r>
        <w:rPr>
          <w:rFonts w:hint="eastAsia"/>
          <w:sz w:val="24"/>
        </w:rPr>
        <w:t>供应商之间商定部分供应商放弃或者放弃中标、成交；</w:t>
      </w:r>
    </w:p>
    <w:p>
      <w:pPr>
        <w:pageBreakBefore w:val="0"/>
        <w:wordWrap/>
        <w:topLinePunct w:val="0"/>
        <w:bidi w:val="0"/>
        <w:spacing w:line="320" w:lineRule="exact"/>
        <w:ind w:firstLine="360" w:firstLineChars="150"/>
        <w:textAlignment w:val="auto"/>
        <w:rPr>
          <w:rFonts w:ascii="宋体" w:hAnsi="宋体"/>
          <w:sz w:val="24"/>
          <w:szCs w:val="24"/>
        </w:rPr>
      </w:pPr>
      <w:r>
        <w:rPr>
          <w:rFonts w:hint="eastAsia" w:ascii="宋体" w:hAnsi="宋体"/>
          <w:sz w:val="24"/>
        </w:rPr>
        <w:t>9、</w:t>
      </w:r>
      <w:r>
        <w:rPr>
          <w:rFonts w:hint="eastAsia"/>
          <w:sz w:val="24"/>
        </w:rPr>
        <w:t>供应商与采购人之间、</w:t>
      </w:r>
      <w:r>
        <w:rPr>
          <w:rFonts w:hint="eastAsia"/>
          <w:sz w:val="24"/>
          <w:szCs w:val="24"/>
        </w:rPr>
        <w:t>供应商相互之间，为谋求特定供应商中标、成交或者排斥其他供应商的其他串通行为；</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szCs w:val="24"/>
        </w:rPr>
        <w:t>10、在确定中标供应商之前，投标人不得与采购人就投标价格、投标方案等实质性内</w:t>
      </w:r>
      <w:r>
        <w:rPr>
          <w:rFonts w:hint="eastAsia" w:ascii="宋体" w:hAnsi="宋体"/>
          <w:sz w:val="24"/>
        </w:rPr>
        <w:t>容进行谈判，也不得私下接触评标委员会成员；</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11、在确定中标供应商之前，投标人试图在投标文件审查、澄清、比较和评价时对评标委员会人员施加任何影响都可能导致其投标无效。</w:t>
      </w:r>
    </w:p>
    <w:p>
      <w:pPr>
        <w:pageBreakBefore w:val="0"/>
        <w:wordWrap/>
        <w:topLinePunct w:val="0"/>
        <w:bidi w:val="0"/>
        <w:spacing w:line="320" w:lineRule="exact"/>
        <w:ind w:firstLine="360" w:firstLineChars="150"/>
        <w:textAlignment w:val="auto"/>
        <w:rPr>
          <w:rFonts w:ascii="宋体" w:hAnsi="宋体"/>
          <w:b/>
          <w:bCs/>
          <w:sz w:val="24"/>
        </w:rPr>
      </w:pPr>
      <w:r>
        <w:rPr>
          <w:rFonts w:hint="eastAsia" w:ascii="宋体" w:hAnsi="宋体"/>
          <w:sz w:val="24"/>
        </w:rPr>
        <w:t>12、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ageBreakBefore w:val="0"/>
        <w:wordWrap/>
        <w:topLinePunct w:val="0"/>
        <w:bidi w:val="0"/>
        <w:spacing w:line="320" w:lineRule="exact"/>
        <w:textAlignment w:val="auto"/>
        <w:rPr>
          <w:rFonts w:ascii="宋体" w:hAnsi="宋体"/>
          <w:b/>
          <w:bCs/>
          <w:sz w:val="24"/>
        </w:rPr>
      </w:pPr>
      <w:r>
        <w:rPr>
          <w:rFonts w:hint="eastAsia" w:ascii="宋体" w:hAnsi="宋体"/>
          <w:b/>
          <w:bCs/>
          <w:sz w:val="24"/>
        </w:rPr>
        <w:t>十、合同标的分包</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1、合同未约定或者未经采购人同意，中标供应商不得向他人转让中标项目，也不得将中标项目肢解后分别向他人转让。</w:t>
      </w:r>
    </w:p>
    <w:p>
      <w:pPr>
        <w:pageBreakBefore w:val="0"/>
        <w:wordWrap/>
        <w:topLinePunct w:val="0"/>
        <w:bidi w:val="0"/>
        <w:spacing w:line="320" w:lineRule="exact"/>
        <w:ind w:firstLine="360" w:firstLineChars="150"/>
        <w:textAlignment w:val="auto"/>
        <w:rPr>
          <w:rFonts w:ascii="宋体" w:hAnsi="宋体"/>
          <w:sz w:val="24"/>
        </w:rPr>
      </w:pPr>
      <w:r>
        <w:rPr>
          <w:rFonts w:hint="eastAsia" w:ascii="宋体" w:hAnsi="宋体"/>
          <w:sz w:val="24"/>
        </w:rPr>
        <w:t>2、合同约定或者经采购人同意，中标供应商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投标文件中载明。</w:t>
      </w:r>
    </w:p>
    <w:p>
      <w:pPr>
        <w:pageBreakBefore w:val="0"/>
        <w:wordWrap/>
        <w:topLinePunct w:val="0"/>
        <w:bidi w:val="0"/>
        <w:spacing w:line="320" w:lineRule="exact"/>
        <w:ind w:firstLine="360" w:firstLineChars="150"/>
        <w:textAlignment w:val="auto"/>
        <w:rPr>
          <w:rFonts w:hint="eastAsia" w:ascii="宋体" w:hAnsi="宋体"/>
          <w:sz w:val="24"/>
        </w:rPr>
      </w:pPr>
      <w:r>
        <w:rPr>
          <w:rFonts w:hint="eastAsia" w:ascii="宋体" w:hAnsi="宋体"/>
          <w:sz w:val="24"/>
        </w:rPr>
        <w:t>3、中标供应商应当就分包项目向采购人负责，接受分包的人就分包项目承担连带责任。</w:t>
      </w:r>
    </w:p>
    <w:p>
      <w:pPr>
        <w:pageBreakBefore w:val="0"/>
        <w:wordWrap/>
        <w:topLinePunct w:val="0"/>
        <w:bidi w:val="0"/>
        <w:spacing w:line="300" w:lineRule="exact"/>
        <w:textAlignment w:val="auto"/>
        <w:rPr>
          <w:rFonts w:hint="eastAsia" w:ascii="宋体" w:hAnsi="宋体"/>
          <w:sz w:val="21"/>
          <w:szCs w:val="21"/>
        </w:rPr>
        <w:sectPr>
          <w:pgSz w:w="11906" w:h="16838"/>
          <w:pgMar w:top="907" w:right="1134" w:bottom="907" w:left="1134" w:header="851" w:footer="992" w:gutter="0"/>
          <w:cols w:space="720" w:num="1"/>
          <w:docGrid w:type="lines" w:linePitch="312" w:charSpace="0"/>
        </w:sectPr>
      </w:pPr>
    </w:p>
    <w:p>
      <w:pPr>
        <w:spacing w:line="560" w:lineRule="exact"/>
        <w:jc w:val="both"/>
        <w:rPr>
          <w:rFonts w:hint="eastAsia" w:ascii="宋体" w:hAnsi="宋体"/>
          <w:b/>
          <w:bCs/>
          <w:sz w:val="44"/>
          <w:szCs w:val="52"/>
        </w:rPr>
      </w:pPr>
    </w:p>
    <w:p>
      <w:pPr>
        <w:spacing w:line="560" w:lineRule="exact"/>
        <w:jc w:val="center"/>
        <w:rPr>
          <w:rFonts w:ascii="宋体" w:hAnsi="宋体"/>
          <w:b/>
          <w:bCs/>
          <w:sz w:val="44"/>
          <w:szCs w:val="52"/>
        </w:rPr>
      </w:pPr>
      <w:r>
        <w:rPr>
          <w:rFonts w:hint="eastAsia" w:ascii="宋体" w:hAnsi="宋体"/>
          <w:b/>
          <w:bCs/>
          <w:sz w:val="44"/>
          <w:szCs w:val="52"/>
        </w:rPr>
        <w:t>长庚楼监控方案</w:t>
      </w:r>
    </w:p>
    <w:p>
      <w:pPr>
        <w:jc w:val="left"/>
        <w:rPr>
          <w:rFonts w:hint="eastAsia" w:ascii="宋体" w:hAnsi="宋体"/>
          <w:bCs/>
          <w:szCs w:val="21"/>
        </w:rPr>
      </w:pPr>
    </w:p>
    <w:tbl>
      <w:tblPr>
        <w:tblStyle w:val="8"/>
        <w:tblpPr w:leftFromText="180" w:rightFromText="180" w:vertAnchor="page" w:horzAnchor="margin" w:tblpXSpec="center" w:tblpY="2417"/>
        <w:tblOverlap w:val="never"/>
        <w:tblW w:w="10044"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61"/>
        <w:gridCol w:w="1103"/>
        <w:gridCol w:w="682"/>
        <w:gridCol w:w="669"/>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65" w:type="dxa"/>
          </w:tcPr>
          <w:p>
            <w:pPr>
              <w:jc w:val="left"/>
              <w:rPr>
                <w:rStyle w:val="11"/>
                <w:rFonts w:hint="default" w:cs="宋体"/>
                <w:bCs/>
                <w:sz w:val="21"/>
                <w:szCs w:val="21"/>
              </w:rPr>
            </w:pPr>
            <w:r>
              <w:rPr>
                <w:rFonts w:hint="eastAsia" w:ascii="宋体" w:hAnsi="宋体"/>
                <w:bCs/>
                <w:szCs w:val="21"/>
              </w:rPr>
              <w:t>产品序号</w:t>
            </w:r>
          </w:p>
        </w:tc>
        <w:tc>
          <w:tcPr>
            <w:tcW w:w="1661" w:type="dxa"/>
          </w:tcPr>
          <w:p>
            <w:pPr>
              <w:jc w:val="left"/>
              <w:rPr>
                <w:rStyle w:val="11"/>
                <w:rFonts w:hint="default" w:cs="宋体"/>
                <w:bCs/>
                <w:sz w:val="21"/>
                <w:szCs w:val="21"/>
              </w:rPr>
            </w:pPr>
            <w:r>
              <w:rPr>
                <w:rFonts w:hint="eastAsia" w:ascii="宋体" w:hAnsi="宋体"/>
                <w:bCs/>
                <w:szCs w:val="21"/>
              </w:rPr>
              <w:t>设备名称</w:t>
            </w:r>
          </w:p>
        </w:tc>
        <w:tc>
          <w:tcPr>
            <w:tcW w:w="1103" w:type="dxa"/>
          </w:tcPr>
          <w:p>
            <w:pPr>
              <w:jc w:val="left"/>
              <w:rPr>
                <w:rStyle w:val="11"/>
                <w:rFonts w:hint="default"/>
                <w:sz w:val="21"/>
                <w:szCs w:val="21"/>
              </w:rPr>
            </w:pPr>
            <w:r>
              <w:rPr>
                <w:rStyle w:val="11"/>
                <w:rFonts w:hint="default"/>
                <w:sz w:val="21"/>
                <w:szCs w:val="21"/>
              </w:rPr>
              <w:t>品牌</w:t>
            </w:r>
          </w:p>
        </w:tc>
        <w:tc>
          <w:tcPr>
            <w:tcW w:w="682" w:type="dxa"/>
          </w:tcPr>
          <w:p>
            <w:pPr>
              <w:jc w:val="left"/>
              <w:rPr>
                <w:rStyle w:val="11"/>
                <w:rFonts w:hint="default"/>
                <w:sz w:val="21"/>
                <w:szCs w:val="21"/>
              </w:rPr>
            </w:pPr>
            <w:r>
              <w:rPr>
                <w:rStyle w:val="11"/>
                <w:rFonts w:hint="default"/>
                <w:sz w:val="21"/>
                <w:szCs w:val="21"/>
              </w:rPr>
              <w:t>数量</w:t>
            </w:r>
          </w:p>
        </w:tc>
        <w:tc>
          <w:tcPr>
            <w:tcW w:w="669" w:type="dxa"/>
          </w:tcPr>
          <w:p>
            <w:pPr>
              <w:jc w:val="left"/>
              <w:rPr>
                <w:rStyle w:val="11"/>
                <w:rFonts w:hint="default"/>
                <w:sz w:val="21"/>
                <w:szCs w:val="21"/>
              </w:rPr>
            </w:pPr>
            <w:r>
              <w:rPr>
                <w:rStyle w:val="11"/>
                <w:rFonts w:hint="default"/>
                <w:sz w:val="21"/>
                <w:szCs w:val="21"/>
              </w:rPr>
              <w:t>单位</w:t>
            </w:r>
          </w:p>
        </w:tc>
        <w:tc>
          <w:tcPr>
            <w:tcW w:w="4864" w:type="dxa"/>
          </w:tcPr>
          <w:p>
            <w:pPr>
              <w:jc w:val="left"/>
              <w:rPr>
                <w:rStyle w:val="11"/>
                <w:rFonts w:hint="default"/>
                <w:sz w:val="21"/>
                <w:szCs w:val="21"/>
              </w:rPr>
            </w:pPr>
            <w:r>
              <w:rPr>
                <w:rStyle w:val="11"/>
                <w:rFonts w:hint="default"/>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65" w:type="dxa"/>
          </w:tcPr>
          <w:p>
            <w:pPr>
              <w:jc w:val="left"/>
              <w:rPr>
                <w:rStyle w:val="11"/>
                <w:rFonts w:hint="default"/>
                <w:color w:val="auto"/>
                <w:sz w:val="21"/>
                <w:szCs w:val="21"/>
              </w:rPr>
            </w:pPr>
            <w:r>
              <w:rPr>
                <w:rStyle w:val="11"/>
                <w:rFonts w:hint="default"/>
                <w:color w:val="auto"/>
                <w:sz w:val="21"/>
                <w:szCs w:val="21"/>
              </w:rPr>
              <w:t>1</w:t>
            </w:r>
          </w:p>
        </w:tc>
        <w:tc>
          <w:tcPr>
            <w:tcW w:w="1661" w:type="dxa"/>
          </w:tcPr>
          <w:p>
            <w:pPr>
              <w:jc w:val="left"/>
              <w:rPr>
                <w:rStyle w:val="11"/>
                <w:rFonts w:hint="default"/>
                <w:color w:val="auto"/>
                <w:sz w:val="21"/>
                <w:szCs w:val="21"/>
              </w:rPr>
            </w:pPr>
            <w:r>
              <w:rPr>
                <w:rStyle w:val="11"/>
                <w:rFonts w:hint="default"/>
                <w:color w:val="auto"/>
                <w:sz w:val="21"/>
                <w:szCs w:val="21"/>
              </w:rPr>
              <w:t>监控摄像头400W</w:t>
            </w:r>
          </w:p>
        </w:tc>
        <w:tc>
          <w:tcPr>
            <w:tcW w:w="1103" w:type="dxa"/>
          </w:tcPr>
          <w:p>
            <w:pPr>
              <w:jc w:val="left"/>
              <w:rPr>
                <w:rStyle w:val="11"/>
                <w:rFonts w:hint="eastAsia" w:eastAsia="宋体"/>
                <w:color w:val="auto"/>
                <w:sz w:val="21"/>
                <w:szCs w:val="21"/>
                <w:lang w:val="en-US" w:eastAsia="zh-CN"/>
              </w:rPr>
            </w:pPr>
            <w:r>
              <w:rPr>
                <w:rStyle w:val="11"/>
                <w:rFonts w:hint="eastAsia"/>
                <w:color w:val="auto"/>
                <w:sz w:val="21"/>
                <w:szCs w:val="21"/>
                <w:lang w:val="en-US" w:eastAsia="zh-CN"/>
              </w:rPr>
              <w:t>海康威视</w:t>
            </w:r>
          </w:p>
        </w:tc>
        <w:tc>
          <w:tcPr>
            <w:tcW w:w="682" w:type="dxa"/>
          </w:tcPr>
          <w:p>
            <w:pPr>
              <w:jc w:val="left"/>
              <w:rPr>
                <w:rStyle w:val="11"/>
                <w:rFonts w:hint="default" w:eastAsia="宋体"/>
                <w:color w:val="auto"/>
                <w:sz w:val="21"/>
                <w:szCs w:val="21"/>
                <w:lang w:val="en-US" w:eastAsia="zh-CN"/>
              </w:rPr>
            </w:pPr>
            <w:r>
              <w:rPr>
                <w:rStyle w:val="11"/>
                <w:rFonts w:hint="eastAsia"/>
                <w:color w:val="auto"/>
                <w:sz w:val="21"/>
                <w:szCs w:val="21"/>
                <w:lang w:val="en-US" w:eastAsia="zh-CN"/>
              </w:rPr>
              <w:t>52</w:t>
            </w:r>
          </w:p>
        </w:tc>
        <w:tc>
          <w:tcPr>
            <w:tcW w:w="669" w:type="dxa"/>
          </w:tcPr>
          <w:p>
            <w:pPr>
              <w:jc w:val="left"/>
              <w:rPr>
                <w:rStyle w:val="11"/>
                <w:rFonts w:hint="default"/>
                <w:color w:val="auto"/>
                <w:sz w:val="21"/>
                <w:szCs w:val="21"/>
              </w:rPr>
            </w:pPr>
            <w:r>
              <w:rPr>
                <w:rStyle w:val="11"/>
                <w:rFonts w:hint="default"/>
                <w:color w:val="auto"/>
                <w:sz w:val="21"/>
                <w:szCs w:val="21"/>
              </w:rPr>
              <w:t>台</w:t>
            </w:r>
          </w:p>
        </w:tc>
        <w:tc>
          <w:tcPr>
            <w:tcW w:w="4864" w:type="dxa"/>
          </w:tcPr>
          <w:p>
            <w:pPr>
              <w:jc w:val="left"/>
              <w:rPr>
                <w:rStyle w:val="11"/>
                <w:color w:val="auto"/>
                <w:sz w:val="18"/>
                <w:szCs w:val="18"/>
              </w:rPr>
            </w:pPr>
            <w:r>
              <w:rPr>
                <w:rStyle w:val="11"/>
                <w:color w:val="auto"/>
                <w:sz w:val="18"/>
                <w:szCs w:val="18"/>
              </w:rPr>
              <w:t>400万 1/3" CMOS红外筒型网络摄像机</w:t>
            </w:r>
          </w:p>
          <w:p>
            <w:pPr>
              <w:jc w:val="left"/>
              <w:rPr>
                <w:rStyle w:val="11"/>
                <w:color w:val="auto"/>
                <w:sz w:val="18"/>
                <w:szCs w:val="18"/>
              </w:rPr>
            </w:pPr>
            <w:r>
              <w:rPr>
                <w:rStyle w:val="11"/>
                <w:color w:val="auto"/>
                <w:sz w:val="18"/>
                <w:szCs w:val="18"/>
              </w:rPr>
              <w:t>支持Smart侦测：10项事件检测，1项异常检测</w:t>
            </w:r>
          </w:p>
          <w:p>
            <w:pPr>
              <w:jc w:val="left"/>
              <w:rPr>
                <w:rStyle w:val="11"/>
                <w:color w:val="auto"/>
                <w:sz w:val="18"/>
                <w:szCs w:val="18"/>
              </w:rPr>
            </w:pPr>
            <w:r>
              <w:rPr>
                <w:rStyle w:val="11"/>
                <w:color w:val="auto"/>
                <w:sz w:val="18"/>
                <w:szCs w:val="18"/>
              </w:rPr>
              <w:t>最低照度: 彩色：0.005 Lux @（F1.2，AGC ON），0 Lux with IR</w:t>
            </w:r>
          </w:p>
          <w:p>
            <w:pPr>
              <w:jc w:val="left"/>
              <w:rPr>
                <w:rStyle w:val="11"/>
                <w:color w:val="auto"/>
                <w:sz w:val="18"/>
                <w:szCs w:val="18"/>
              </w:rPr>
            </w:pPr>
            <w:r>
              <w:rPr>
                <w:rStyle w:val="11"/>
                <w:color w:val="auto"/>
                <w:sz w:val="18"/>
                <w:szCs w:val="18"/>
              </w:rPr>
              <w:t>宽动态: 120 dB</w:t>
            </w:r>
          </w:p>
          <w:p>
            <w:pPr>
              <w:jc w:val="left"/>
              <w:rPr>
                <w:rStyle w:val="11"/>
                <w:color w:val="auto"/>
                <w:sz w:val="18"/>
                <w:szCs w:val="18"/>
              </w:rPr>
            </w:pPr>
            <w:r>
              <w:rPr>
                <w:rStyle w:val="11"/>
                <w:color w:val="auto"/>
                <w:sz w:val="18"/>
                <w:szCs w:val="18"/>
              </w:rPr>
              <w:t xml:space="preserve">焦距&amp;视场角: </w:t>
            </w:r>
            <w:r>
              <w:rPr>
                <w:rStyle w:val="11"/>
                <w:color w:val="auto"/>
                <w:sz w:val="18"/>
                <w:szCs w:val="18"/>
              </w:rPr>
              <w:tab/>
            </w:r>
          </w:p>
          <w:p>
            <w:pPr>
              <w:jc w:val="left"/>
              <w:rPr>
                <w:rStyle w:val="11"/>
                <w:color w:val="auto"/>
                <w:sz w:val="18"/>
                <w:szCs w:val="18"/>
              </w:rPr>
            </w:pPr>
            <w:r>
              <w:rPr>
                <w:rStyle w:val="11"/>
                <w:color w:val="auto"/>
                <w:sz w:val="18"/>
                <w:szCs w:val="18"/>
              </w:rPr>
              <w:t>2.8 mm，水平视场角：97°，垂直视场角：52.3°，对角视场角：114.3°</w:t>
            </w:r>
          </w:p>
          <w:p>
            <w:pPr>
              <w:jc w:val="left"/>
              <w:rPr>
                <w:rStyle w:val="11"/>
                <w:color w:val="auto"/>
                <w:sz w:val="18"/>
                <w:szCs w:val="18"/>
              </w:rPr>
            </w:pPr>
            <w:r>
              <w:rPr>
                <w:rStyle w:val="11"/>
                <w:color w:val="auto"/>
                <w:sz w:val="18"/>
                <w:szCs w:val="18"/>
              </w:rPr>
              <w:t>4 mm，水平视场角：78.8°，垂直视场角:40.5°，对角视场角：93.9°</w:t>
            </w:r>
          </w:p>
          <w:p>
            <w:pPr>
              <w:jc w:val="left"/>
              <w:rPr>
                <w:rStyle w:val="11"/>
                <w:color w:val="auto"/>
                <w:sz w:val="18"/>
                <w:szCs w:val="18"/>
              </w:rPr>
            </w:pPr>
            <w:r>
              <w:rPr>
                <w:rStyle w:val="11"/>
                <w:color w:val="auto"/>
                <w:sz w:val="18"/>
                <w:szCs w:val="18"/>
              </w:rPr>
              <w:t>6 mm，水平视场角：49.1°，垂直视场角：26.3°，对角视场角：57.2°</w:t>
            </w:r>
          </w:p>
          <w:p>
            <w:pPr>
              <w:jc w:val="left"/>
              <w:rPr>
                <w:rStyle w:val="11"/>
                <w:color w:val="auto"/>
                <w:sz w:val="18"/>
                <w:szCs w:val="18"/>
              </w:rPr>
            </w:pPr>
            <w:r>
              <w:rPr>
                <w:rStyle w:val="11"/>
                <w:color w:val="auto"/>
                <w:sz w:val="18"/>
                <w:szCs w:val="18"/>
              </w:rPr>
              <w:t>8 mm，水平视场角：37.5°，垂直视场角：20.7°，对角视场角：43.3°</w:t>
            </w:r>
          </w:p>
          <w:p>
            <w:pPr>
              <w:jc w:val="left"/>
              <w:rPr>
                <w:rStyle w:val="11"/>
                <w:color w:val="auto"/>
                <w:sz w:val="18"/>
                <w:szCs w:val="18"/>
              </w:rPr>
            </w:pPr>
            <w:r>
              <w:rPr>
                <w:rStyle w:val="11"/>
                <w:color w:val="auto"/>
                <w:sz w:val="18"/>
                <w:szCs w:val="18"/>
              </w:rPr>
              <w:t>12 mm，水平视场角：23.4°，垂直视场角：13.3°，对角视场角：26.88°</w:t>
            </w:r>
          </w:p>
          <w:p>
            <w:pPr>
              <w:jc w:val="left"/>
              <w:rPr>
                <w:rStyle w:val="11"/>
                <w:color w:val="auto"/>
                <w:sz w:val="18"/>
                <w:szCs w:val="18"/>
              </w:rPr>
            </w:pPr>
            <w:r>
              <w:rPr>
                <w:rStyle w:val="11"/>
                <w:color w:val="auto"/>
                <w:sz w:val="18"/>
                <w:szCs w:val="18"/>
              </w:rPr>
              <w:t>补光灯类型: 红外灯</w:t>
            </w:r>
          </w:p>
          <w:p>
            <w:pPr>
              <w:jc w:val="left"/>
              <w:rPr>
                <w:rStyle w:val="11"/>
                <w:color w:val="auto"/>
                <w:sz w:val="18"/>
                <w:szCs w:val="18"/>
              </w:rPr>
            </w:pPr>
            <w:r>
              <w:rPr>
                <w:rStyle w:val="11"/>
                <w:color w:val="auto"/>
                <w:sz w:val="18"/>
                <w:szCs w:val="18"/>
              </w:rPr>
              <w:t>补光距离: 最远可达30 m</w:t>
            </w:r>
          </w:p>
          <w:p>
            <w:pPr>
              <w:jc w:val="left"/>
              <w:rPr>
                <w:rStyle w:val="11"/>
                <w:color w:val="auto"/>
                <w:sz w:val="18"/>
                <w:szCs w:val="18"/>
              </w:rPr>
            </w:pPr>
            <w:r>
              <w:rPr>
                <w:rStyle w:val="11"/>
                <w:color w:val="auto"/>
                <w:sz w:val="18"/>
                <w:szCs w:val="18"/>
              </w:rPr>
              <w:t>红外波长范围: 850 nm</w:t>
            </w:r>
          </w:p>
          <w:p>
            <w:pPr>
              <w:jc w:val="left"/>
              <w:rPr>
                <w:rStyle w:val="11"/>
                <w:color w:val="auto"/>
                <w:sz w:val="18"/>
                <w:szCs w:val="18"/>
              </w:rPr>
            </w:pPr>
            <w:r>
              <w:rPr>
                <w:rStyle w:val="11"/>
                <w:color w:val="auto"/>
                <w:sz w:val="18"/>
                <w:szCs w:val="18"/>
              </w:rPr>
              <w:t>防补光过曝: 支持</w:t>
            </w:r>
          </w:p>
          <w:p>
            <w:pPr>
              <w:jc w:val="left"/>
              <w:rPr>
                <w:rStyle w:val="11"/>
                <w:color w:val="auto"/>
                <w:sz w:val="18"/>
                <w:szCs w:val="18"/>
              </w:rPr>
            </w:pPr>
            <w:r>
              <w:rPr>
                <w:rStyle w:val="11"/>
                <w:color w:val="auto"/>
                <w:sz w:val="18"/>
                <w:szCs w:val="18"/>
              </w:rPr>
              <w:t>最大图像尺寸: 2688 × 1520（默认2560 × 1440）</w:t>
            </w:r>
          </w:p>
          <w:p>
            <w:pPr>
              <w:jc w:val="left"/>
              <w:rPr>
                <w:rStyle w:val="11"/>
                <w:color w:val="auto"/>
                <w:sz w:val="18"/>
                <w:szCs w:val="18"/>
              </w:rPr>
            </w:pPr>
            <w:r>
              <w:rPr>
                <w:rStyle w:val="11"/>
                <w:color w:val="auto"/>
                <w:sz w:val="18"/>
                <w:szCs w:val="18"/>
              </w:rPr>
              <w:t>视频压缩标准: 主码流：H.265/H.264</w:t>
            </w:r>
          </w:p>
          <w:p>
            <w:pPr>
              <w:jc w:val="left"/>
              <w:rPr>
                <w:rStyle w:val="11"/>
                <w:color w:val="auto"/>
                <w:sz w:val="18"/>
                <w:szCs w:val="18"/>
              </w:rPr>
            </w:pPr>
            <w:r>
              <w:rPr>
                <w:rStyle w:val="11"/>
                <w:color w:val="auto"/>
                <w:sz w:val="18"/>
                <w:szCs w:val="18"/>
              </w:rPr>
              <w:t>网络存储: 支持NAS（NFS，SMB/CIFS均支持）</w:t>
            </w:r>
          </w:p>
          <w:p>
            <w:pPr>
              <w:jc w:val="left"/>
              <w:rPr>
                <w:rStyle w:val="11"/>
                <w:color w:val="auto"/>
                <w:sz w:val="18"/>
                <w:szCs w:val="18"/>
              </w:rPr>
            </w:pPr>
            <w:r>
              <w:rPr>
                <w:rStyle w:val="11"/>
                <w:color w:val="auto"/>
                <w:sz w:val="18"/>
                <w:szCs w:val="18"/>
              </w:rPr>
              <w:t>音频: 1个内置麦克风</w:t>
            </w:r>
          </w:p>
          <w:p>
            <w:pPr>
              <w:jc w:val="left"/>
              <w:rPr>
                <w:rStyle w:val="11"/>
                <w:color w:val="auto"/>
                <w:sz w:val="18"/>
                <w:szCs w:val="18"/>
              </w:rPr>
            </w:pPr>
            <w:r>
              <w:rPr>
                <w:rStyle w:val="11"/>
                <w:color w:val="auto"/>
                <w:sz w:val="18"/>
                <w:szCs w:val="18"/>
              </w:rPr>
              <w:t>网络: 1个RJ45 10 M/100 M自适应以太网口</w:t>
            </w:r>
          </w:p>
          <w:p>
            <w:pPr>
              <w:jc w:val="left"/>
              <w:rPr>
                <w:rStyle w:val="11"/>
                <w:color w:val="auto"/>
                <w:sz w:val="18"/>
                <w:szCs w:val="18"/>
              </w:rPr>
            </w:pPr>
            <w:r>
              <w:rPr>
                <w:rStyle w:val="11"/>
                <w:color w:val="auto"/>
                <w:sz w:val="18"/>
                <w:szCs w:val="18"/>
              </w:rPr>
              <w:t>启动和工作温湿度: -30 ℃~60 ℃，湿度小于95%（无凝结）</w:t>
            </w:r>
          </w:p>
          <w:p>
            <w:pPr>
              <w:jc w:val="left"/>
              <w:rPr>
                <w:rStyle w:val="11"/>
                <w:color w:val="auto"/>
                <w:sz w:val="18"/>
                <w:szCs w:val="18"/>
              </w:rPr>
            </w:pPr>
            <w:r>
              <w:rPr>
                <w:rStyle w:val="11"/>
                <w:color w:val="auto"/>
                <w:sz w:val="18"/>
                <w:szCs w:val="18"/>
              </w:rPr>
              <w:t>供电方式: DC：12 V ± 25%，支持防反接保护；PoE：802.3af，Class 3</w:t>
            </w:r>
          </w:p>
          <w:p>
            <w:pPr>
              <w:jc w:val="left"/>
              <w:rPr>
                <w:rStyle w:val="11"/>
                <w:color w:val="auto"/>
                <w:sz w:val="18"/>
                <w:szCs w:val="18"/>
              </w:rPr>
            </w:pPr>
            <w:r>
              <w:rPr>
                <w:rStyle w:val="11"/>
                <w:color w:val="auto"/>
                <w:sz w:val="18"/>
                <w:szCs w:val="18"/>
              </w:rPr>
              <w:t>电流及功耗: DC：12 V，0.41 A，最大功耗：5 W；PoE：802.3af，36 V~57 V，0.18 A~0.11 A，最大功耗：6.5 W</w:t>
            </w:r>
          </w:p>
          <w:p>
            <w:pPr>
              <w:jc w:val="left"/>
              <w:rPr>
                <w:rStyle w:val="11"/>
                <w:color w:val="auto"/>
                <w:sz w:val="18"/>
                <w:szCs w:val="18"/>
              </w:rPr>
            </w:pPr>
            <w:r>
              <w:rPr>
                <w:rStyle w:val="11"/>
                <w:color w:val="auto"/>
                <w:sz w:val="18"/>
                <w:szCs w:val="18"/>
              </w:rPr>
              <w:t>电源接口类型: Ø5.5 mm圆口</w:t>
            </w:r>
          </w:p>
          <w:p>
            <w:pPr>
              <w:jc w:val="left"/>
              <w:rPr>
                <w:rStyle w:val="11"/>
                <w:color w:val="auto"/>
                <w:sz w:val="18"/>
                <w:szCs w:val="18"/>
              </w:rPr>
            </w:pPr>
            <w:r>
              <w:rPr>
                <w:rStyle w:val="11"/>
                <w:color w:val="auto"/>
                <w:sz w:val="18"/>
                <w:szCs w:val="18"/>
              </w:rPr>
              <w:t>产品尺寸: 186.6 × 92.7 × 87.6 mm</w:t>
            </w:r>
          </w:p>
          <w:p>
            <w:pPr>
              <w:jc w:val="left"/>
              <w:rPr>
                <w:rStyle w:val="11"/>
                <w:color w:val="auto"/>
                <w:sz w:val="18"/>
                <w:szCs w:val="18"/>
              </w:rPr>
            </w:pPr>
            <w:r>
              <w:rPr>
                <w:rStyle w:val="11"/>
                <w:color w:val="auto"/>
                <w:sz w:val="18"/>
                <w:szCs w:val="18"/>
              </w:rPr>
              <w:t>包装尺寸: 235 × 120 × 125 mm</w:t>
            </w:r>
          </w:p>
          <w:p>
            <w:pPr>
              <w:jc w:val="left"/>
              <w:rPr>
                <w:rStyle w:val="11"/>
                <w:color w:val="auto"/>
                <w:sz w:val="18"/>
                <w:szCs w:val="18"/>
              </w:rPr>
            </w:pPr>
            <w:r>
              <w:rPr>
                <w:rStyle w:val="11"/>
                <w:color w:val="auto"/>
                <w:sz w:val="18"/>
                <w:szCs w:val="18"/>
              </w:rPr>
              <w:t>设备重量: 480 g</w:t>
            </w:r>
          </w:p>
          <w:p>
            <w:pPr>
              <w:jc w:val="left"/>
              <w:rPr>
                <w:rStyle w:val="11"/>
                <w:color w:val="auto"/>
                <w:sz w:val="18"/>
                <w:szCs w:val="18"/>
              </w:rPr>
            </w:pPr>
            <w:r>
              <w:rPr>
                <w:rStyle w:val="11"/>
                <w:color w:val="auto"/>
                <w:sz w:val="18"/>
                <w:szCs w:val="18"/>
              </w:rPr>
              <w:t>带包装重量: 670 g</w:t>
            </w:r>
          </w:p>
          <w:p>
            <w:pPr>
              <w:jc w:val="left"/>
              <w:rPr>
                <w:rStyle w:val="11"/>
                <w:rFonts w:hint="default"/>
                <w:color w:val="auto"/>
                <w:sz w:val="18"/>
                <w:szCs w:val="18"/>
              </w:rPr>
            </w:pPr>
            <w:r>
              <w:rPr>
                <w:rStyle w:val="11"/>
                <w:color w:val="auto"/>
                <w:sz w:val="18"/>
                <w:szCs w:val="18"/>
              </w:rPr>
              <w:t>防护: 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65" w:type="dxa"/>
          </w:tcPr>
          <w:p>
            <w:pPr>
              <w:jc w:val="left"/>
              <w:rPr>
                <w:rStyle w:val="11"/>
                <w:rFonts w:hint="default"/>
                <w:color w:val="auto"/>
                <w:sz w:val="21"/>
                <w:szCs w:val="21"/>
              </w:rPr>
            </w:pPr>
            <w:r>
              <w:rPr>
                <w:rStyle w:val="11"/>
                <w:rFonts w:hint="default"/>
                <w:color w:val="auto"/>
                <w:sz w:val="21"/>
                <w:szCs w:val="21"/>
              </w:rPr>
              <w:t>2</w:t>
            </w:r>
          </w:p>
        </w:tc>
        <w:tc>
          <w:tcPr>
            <w:tcW w:w="1661" w:type="dxa"/>
          </w:tcPr>
          <w:p>
            <w:pPr>
              <w:jc w:val="left"/>
              <w:rPr>
                <w:rFonts w:ascii="宋体" w:hAnsi="宋体"/>
                <w:color w:val="auto"/>
                <w:szCs w:val="21"/>
              </w:rPr>
            </w:pPr>
            <w:r>
              <w:rPr>
                <w:rStyle w:val="11"/>
                <w:rFonts w:hint="default"/>
                <w:color w:val="auto"/>
                <w:sz w:val="21"/>
                <w:szCs w:val="21"/>
              </w:rPr>
              <w:t>网线六类</w:t>
            </w:r>
          </w:p>
        </w:tc>
        <w:tc>
          <w:tcPr>
            <w:tcW w:w="1103" w:type="dxa"/>
          </w:tcPr>
          <w:p>
            <w:pPr>
              <w:jc w:val="left"/>
              <w:rPr>
                <w:rFonts w:ascii="宋体" w:hAnsi="宋体"/>
                <w:color w:val="auto"/>
                <w:szCs w:val="21"/>
              </w:rPr>
            </w:pPr>
            <w:r>
              <w:rPr>
                <w:rStyle w:val="11"/>
                <w:rFonts w:hint="default"/>
                <w:color w:val="auto"/>
                <w:sz w:val="21"/>
                <w:szCs w:val="21"/>
              </w:rPr>
              <w:t>海康威视</w:t>
            </w:r>
          </w:p>
        </w:tc>
        <w:tc>
          <w:tcPr>
            <w:tcW w:w="682" w:type="dxa"/>
          </w:tcPr>
          <w:p>
            <w:pPr>
              <w:jc w:val="left"/>
              <w:rPr>
                <w:rStyle w:val="11"/>
                <w:rFonts w:hint="default" w:eastAsia="宋体"/>
                <w:color w:val="auto"/>
                <w:sz w:val="21"/>
                <w:szCs w:val="21"/>
                <w:lang w:val="en-US" w:eastAsia="zh-CN"/>
              </w:rPr>
            </w:pPr>
            <w:r>
              <w:rPr>
                <w:rStyle w:val="11"/>
                <w:rFonts w:hint="eastAsia"/>
                <w:color w:val="auto"/>
                <w:sz w:val="21"/>
                <w:szCs w:val="21"/>
                <w:lang w:val="en-US" w:eastAsia="zh-CN"/>
              </w:rPr>
              <w:t>18</w:t>
            </w:r>
          </w:p>
        </w:tc>
        <w:tc>
          <w:tcPr>
            <w:tcW w:w="669" w:type="dxa"/>
          </w:tcPr>
          <w:p>
            <w:pPr>
              <w:jc w:val="left"/>
              <w:rPr>
                <w:rStyle w:val="11"/>
                <w:rFonts w:hint="default"/>
                <w:color w:val="auto"/>
                <w:sz w:val="21"/>
                <w:szCs w:val="21"/>
              </w:rPr>
            </w:pPr>
            <w:r>
              <w:rPr>
                <w:rStyle w:val="11"/>
                <w:rFonts w:hint="default"/>
                <w:color w:val="auto"/>
                <w:sz w:val="21"/>
                <w:szCs w:val="21"/>
              </w:rPr>
              <w:t>箱</w:t>
            </w:r>
          </w:p>
        </w:tc>
        <w:tc>
          <w:tcPr>
            <w:tcW w:w="4864" w:type="dxa"/>
          </w:tcPr>
          <w:p>
            <w:pPr>
              <w:jc w:val="left"/>
              <w:rPr>
                <w:rStyle w:val="11"/>
                <w:rFonts w:hint="eastAsia" w:eastAsia="宋体"/>
                <w:color w:val="auto"/>
                <w:sz w:val="18"/>
                <w:szCs w:val="18"/>
                <w:lang w:eastAsia="zh-CN"/>
              </w:rPr>
            </w:pPr>
            <w:r>
              <w:rPr>
                <w:rStyle w:val="11"/>
                <w:rFonts w:hint="eastAsia"/>
                <w:color w:val="auto"/>
                <w:sz w:val="18"/>
                <w:szCs w:val="18"/>
                <w:lang w:eastAsia="zh-CN"/>
              </w:rPr>
              <w:t>国标超六类双胶线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65" w:type="dxa"/>
          </w:tcPr>
          <w:p>
            <w:pPr>
              <w:jc w:val="left"/>
              <w:rPr>
                <w:rStyle w:val="11"/>
                <w:rFonts w:hint="default"/>
                <w:color w:val="auto"/>
                <w:sz w:val="21"/>
                <w:szCs w:val="21"/>
              </w:rPr>
            </w:pPr>
            <w:r>
              <w:rPr>
                <w:rStyle w:val="11"/>
                <w:rFonts w:hint="default"/>
                <w:color w:val="auto"/>
                <w:sz w:val="21"/>
                <w:szCs w:val="21"/>
              </w:rPr>
              <w:t>3</w:t>
            </w:r>
          </w:p>
        </w:tc>
        <w:tc>
          <w:tcPr>
            <w:tcW w:w="1661" w:type="dxa"/>
          </w:tcPr>
          <w:p>
            <w:pPr>
              <w:jc w:val="left"/>
              <w:rPr>
                <w:rStyle w:val="11"/>
                <w:rFonts w:hint="default"/>
                <w:color w:val="auto"/>
                <w:sz w:val="21"/>
                <w:szCs w:val="21"/>
              </w:rPr>
            </w:pPr>
            <w:r>
              <w:rPr>
                <w:rStyle w:val="11"/>
                <w:rFonts w:hint="default"/>
                <w:color w:val="auto"/>
                <w:sz w:val="21"/>
                <w:szCs w:val="21"/>
              </w:rPr>
              <w:t>24口交换机POE</w:t>
            </w:r>
          </w:p>
        </w:tc>
        <w:tc>
          <w:tcPr>
            <w:tcW w:w="1103" w:type="dxa"/>
          </w:tcPr>
          <w:p>
            <w:pPr>
              <w:jc w:val="left"/>
              <w:rPr>
                <w:rStyle w:val="11"/>
                <w:rFonts w:hint="default"/>
                <w:color w:val="auto"/>
                <w:sz w:val="21"/>
                <w:szCs w:val="21"/>
              </w:rPr>
            </w:pPr>
            <w:r>
              <w:rPr>
                <w:rStyle w:val="11"/>
                <w:rFonts w:hint="default"/>
                <w:color w:val="auto"/>
                <w:sz w:val="21"/>
                <w:szCs w:val="21"/>
              </w:rPr>
              <w:t>海康威视</w:t>
            </w:r>
          </w:p>
        </w:tc>
        <w:tc>
          <w:tcPr>
            <w:tcW w:w="682" w:type="dxa"/>
          </w:tcPr>
          <w:p>
            <w:pPr>
              <w:jc w:val="left"/>
              <w:rPr>
                <w:rStyle w:val="11"/>
                <w:rFonts w:hint="eastAsia" w:eastAsia="宋体"/>
                <w:color w:val="auto"/>
                <w:sz w:val="21"/>
                <w:szCs w:val="21"/>
                <w:lang w:eastAsia="zh-CN"/>
              </w:rPr>
            </w:pPr>
            <w:r>
              <w:rPr>
                <w:rStyle w:val="11"/>
                <w:rFonts w:hint="eastAsia"/>
                <w:color w:val="auto"/>
                <w:sz w:val="21"/>
                <w:szCs w:val="21"/>
                <w:lang w:val="en-US" w:eastAsia="zh-CN"/>
              </w:rPr>
              <w:t>3</w:t>
            </w:r>
          </w:p>
        </w:tc>
        <w:tc>
          <w:tcPr>
            <w:tcW w:w="669" w:type="dxa"/>
          </w:tcPr>
          <w:p>
            <w:pPr>
              <w:jc w:val="left"/>
              <w:rPr>
                <w:rStyle w:val="11"/>
                <w:rFonts w:hint="default"/>
                <w:color w:val="auto"/>
                <w:sz w:val="21"/>
                <w:szCs w:val="21"/>
              </w:rPr>
            </w:pPr>
            <w:r>
              <w:rPr>
                <w:rStyle w:val="11"/>
                <w:rFonts w:hint="default"/>
                <w:color w:val="auto"/>
                <w:sz w:val="21"/>
                <w:szCs w:val="21"/>
              </w:rPr>
              <w:t>台</w:t>
            </w:r>
          </w:p>
        </w:tc>
        <w:tc>
          <w:tcPr>
            <w:tcW w:w="4864" w:type="dxa"/>
          </w:tcPr>
          <w:p>
            <w:pPr>
              <w:jc w:val="left"/>
              <w:rPr>
                <w:rStyle w:val="11"/>
                <w:color w:val="auto"/>
                <w:sz w:val="18"/>
                <w:szCs w:val="18"/>
              </w:rPr>
            </w:pPr>
            <w:r>
              <w:rPr>
                <w:rStyle w:val="11"/>
                <w:color w:val="auto"/>
                <w:sz w:val="18"/>
                <w:szCs w:val="18"/>
              </w:rPr>
              <w:t>提供24个千兆PoE电口，1个千兆电口，1个千兆光口</w:t>
            </w:r>
          </w:p>
          <w:p>
            <w:pPr>
              <w:jc w:val="left"/>
              <w:rPr>
                <w:rStyle w:val="11"/>
                <w:color w:val="auto"/>
                <w:sz w:val="18"/>
                <w:szCs w:val="18"/>
              </w:rPr>
            </w:pPr>
            <w:r>
              <w:rPr>
                <w:rStyle w:val="11"/>
                <w:color w:val="auto"/>
                <w:sz w:val="18"/>
                <w:szCs w:val="18"/>
              </w:rPr>
              <w:t>交换容量</w:t>
            </w:r>
            <w:r>
              <w:rPr>
                <w:rStyle w:val="11"/>
                <w:color w:val="auto"/>
                <w:sz w:val="18"/>
                <w:szCs w:val="18"/>
              </w:rPr>
              <w:tab/>
            </w:r>
            <w:r>
              <w:rPr>
                <w:rStyle w:val="11"/>
                <w:color w:val="auto"/>
                <w:sz w:val="18"/>
                <w:szCs w:val="18"/>
              </w:rPr>
              <w:t>52 Gbps</w:t>
            </w:r>
          </w:p>
          <w:p>
            <w:pPr>
              <w:jc w:val="left"/>
              <w:rPr>
                <w:rStyle w:val="11"/>
                <w:color w:val="auto"/>
                <w:sz w:val="18"/>
                <w:szCs w:val="18"/>
              </w:rPr>
            </w:pPr>
            <w:r>
              <w:rPr>
                <w:rStyle w:val="11"/>
                <w:color w:val="auto"/>
                <w:sz w:val="18"/>
                <w:szCs w:val="18"/>
              </w:rPr>
              <w:t>包转发率</w:t>
            </w:r>
            <w:r>
              <w:rPr>
                <w:rStyle w:val="11"/>
                <w:color w:val="auto"/>
                <w:sz w:val="18"/>
                <w:szCs w:val="18"/>
              </w:rPr>
              <w:tab/>
            </w:r>
            <w:r>
              <w:rPr>
                <w:rStyle w:val="11"/>
                <w:color w:val="auto"/>
                <w:sz w:val="18"/>
                <w:szCs w:val="18"/>
              </w:rPr>
              <w:t>38.688 Mpps</w:t>
            </w:r>
          </w:p>
          <w:p>
            <w:pPr>
              <w:jc w:val="left"/>
              <w:rPr>
                <w:rStyle w:val="11"/>
                <w:color w:val="auto"/>
                <w:sz w:val="18"/>
                <w:szCs w:val="18"/>
              </w:rPr>
            </w:pPr>
            <w:r>
              <w:rPr>
                <w:rStyle w:val="11"/>
                <w:color w:val="auto"/>
                <w:sz w:val="18"/>
                <w:szCs w:val="18"/>
              </w:rPr>
              <w:t>支持IEEE 802.3at/af</w:t>
            </w:r>
          </w:p>
          <w:p>
            <w:pPr>
              <w:jc w:val="left"/>
              <w:rPr>
                <w:rStyle w:val="11"/>
                <w:color w:val="auto"/>
                <w:sz w:val="18"/>
                <w:szCs w:val="18"/>
              </w:rPr>
            </w:pPr>
            <w:r>
              <w:rPr>
                <w:rStyle w:val="11"/>
                <w:color w:val="auto"/>
                <w:sz w:val="18"/>
                <w:szCs w:val="18"/>
              </w:rPr>
              <w:t>端口最大供电功率</w:t>
            </w:r>
            <w:r>
              <w:rPr>
                <w:rStyle w:val="11"/>
                <w:color w:val="auto"/>
                <w:sz w:val="18"/>
                <w:szCs w:val="18"/>
              </w:rPr>
              <w:tab/>
            </w:r>
            <w:r>
              <w:rPr>
                <w:rStyle w:val="11"/>
                <w:color w:val="auto"/>
                <w:sz w:val="18"/>
                <w:szCs w:val="18"/>
              </w:rPr>
              <w:t>30 W</w:t>
            </w:r>
          </w:p>
          <w:p>
            <w:pPr>
              <w:jc w:val="left"/>
              <w:rPr>
                <w:rStyle w:val="11"/>
                <w:color w:val="auto"/>
                <w:sz w:val="18"/>
                <w:szCs w:val="18"/>
              </w:rPr>
            </w:pPr>
            <w:r>
              <w:rPr>
                <w:rStyle w:val="11"/>
                <w:color w:val="auto"/>
                <w:sz w:val="18"/>
                <w:szCs w:val="18"/>
              </w:rPr>
              <w:t>整机最大供电功率</w:t>
            </w:r>
            <w:r>
              <w:rPr>
                <w:rStyle w:val="11"/>
                <w:color w:val="auto"/>
                <w:sz w:val="18"/>
                <w:szCs w:val="18"/>
              </w:rPr>
              <w:tab/>
            </w:r>
            <w:r>
              <w:rPr>
                <w:rStyle w:val="11"/>
                <w:color w:val="auto"/>
                <w:sz w:val="18"/>
                <w:szCs w:val="18"/>
              </w:rPr>
              <w:t>370 W</w:t>
            </w:r>
          </w:p>
          <w:p>
            <w:pPr>
              <w:jc w:val="left"/>
              <w:rPr>
                <w:rStyle w:val="11"/>
                <w:color w:val="auto"/>
                <w:sz w:val="18"/>
                <w:szCs w:val="18"/>
              </w:rPr>
            </w:pPr>
            <w:r>
              <w:rPr>
                <w:rStyle w:val="11"/>
                <w:color w:val="auto"/>
                <w:sz w:val="18"/>
                <w:szCs w:val="18"/>
              </w:rPr>
              <w:t>支持IEEE 802.3、IEEE 802.3u、IEEE 802.3x、IEEE802.3ab、IEEE802.3z</w:t>
            </w:r>
          </w:p>
          <w:p>
            <w:pPr>
              <w:jc w:val="left"/>
              <w:rPr>
                <w:rStyle w:val="11"/>
                <w:color w:val="auto"/>
                <w:sz w:val="18"/>
                <w:szCs w:val="18"/>
              </w:rPr>
            </w:pPr>
            <w:r>
              <w:rPr>
                <w:rStyle w:val="11"/>
                <w:color w:val="auto"/>
                <w:sz w:val="18"/>
                <w:szCs w:val="18"/>
              </w:rPr>
              <w:t>支持6KV防浪涌（PoE口）</w:t>
            </w:r>
          </w:p>
          <w:p>
            <w:pPr>
              <w:jc w:val="left"/>
              <w:rPr>
                <w:rStyle w:val="11"/>
                <w:color w:val="auto"/>
                <w:sz w:val="18"/>
                <w:szCs w:val="18"/>
              </w:rPr>
            </w:pPr>
            <w:r>
              <w:rPr>
                <w:rStyle w:val="11"/>
                <w:color w:val="auto"/>
                <w:sz w:val="18"/>
                <w:szCs w:val="18"/>
              </w:rPr>
              <w:t>支持PoE输出功率管理</w:t>
            </w:r>
          </w:p>
          <w:p>
            <w:pPr>
              <w:jc w:val="left"/>
              <w:rPr>
                <w:rStyle w:val="11"/>
                <w:color w:val="auto"/>
                <w:sz w:val="18"/>
                <w:szCs w:val="18"/>
              </w:rPr>
            </w:pPr>
            <w:r>
              <w:rPr>
                <w:rStyle w:val="11"/>
                <w:color w:val="auto"/>
                <w:sz w:val="18"/>
                <w:szCs w:val="18"/>
              </w:rPr>
              <w:t>千兆网络接入设计</w:t>
            </w:r>
          </w:p>
          <w:p>
            <w:pPr>
              <w:jc w:val="left"/>
              <w:rPr>
                <w:rStyle w:val="11"/>
                <w:color w:val="auto"/>
                <w:sz w:val="18"/>
                <w:szCs w:val="18"/>
              </w:rPr>
            </w:pPr>
            <w:r>
              <w:rPr>
                <w:rStyle w:val="11"/>
                <w:color w:val="auto"/>
                <w:sz w:val="18"/>
                <w:szCs w:val="18"/>
              </w:rPr>
              <w:t>线速转发、无阻塞设计</w:t>
            </w:r>
          </w:p>
          <w:p>
            <w:pPr>
              <w:jc w:val="left"/>
              <w:rPr>
                <w:rStyle w:val="11"/>
                <w:color w:val="auto"/>
                <w:sz w:val="18"/>
                <w:szCs w:val="18"/>
              </w:rPr>
            </w:pPr>
            <w:r>
              <w:rPr>
                <w:rStyle w:val="11"/>
                <w:color w:val="auto"/>
                <w:sz w:val="18"/>
                <w:szCs w:val="18"/>
              </w:rPr>
              <w:t>存储转发交换方式</w:t>
            </w:r>
          </w:p>
          <w:p>
            <w:pPr>
              <w:jc w:val="left"/>
              <w:rPr>
                <w:rStyle w:val="11"/>
                <w:rFonts w:hint="default"/>
                <w:color w:val="auto"/>
                <w:sz w:val="18"/>
                <w:szCs w:val="18"/>
              </w:rPr>
            </w:pPr>
            <w:r>
              <w:rPr>
                <w:rStyle w:val="11"/>
                <w:color w:val="auto"/>
                <w:sz w:val="18"/>
                <w:szCs w:val="18"/>
              </w:rPr>
              <w:t>坚固式高强度金属外壳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65" w:type="dxa"/>
          </w:tcPr>
          <w:p>
            <w:pPr>
              <w:jc w:val="left"/>
              <w:rPr>
                <w:rStyle w:val="11"/>
                <w:rFonts w:hint="default"/>
                <w:sz w:val="21"/>
                <w:szCs w:val="21"/>
              </w:rPr>
            </w:pPr>
            <w:r>
              <w:rPr>
                <w:rStyle w:val="11"/>
                <w:rFonts w:hint="default"/>
                <w:sz w:val="21"/>
                <w:szCs w:val="21"/>
              </w:rPr>
              <w:t>4</w:t>
            </w:r>
          </w:p>
        </w:tc>
        <w:tc>
          <w:tcPr>
            <w:tcW w:w="1661" w:type="dxa"/>
          </w:tcPr>
          <w:p>
            <w:pPr>
              <w:jc w:val="left"/>
              <w:rPr>
                <w:rStyle w:val="11"/>
                <w:rFonts w:hint="default"/>
                <w:sz w:val="21"/>
                <w:szCs w:val="21"/>
              </w:rPr>
            </w:pPr>
            <w:r>
              <w:rPr>
                <w:rStyle w:val="11"/>
                <w:rFonts w:hint="default"/>
                <w:sz w:val="21"/>
                <w:szCs w:val="21"/>
              </w:rPr>
              <w:t>光纤收发器</w:t>
            </w:r>
          </w:p>
        </w:tc>
        <w:tc>
          <w:tcPr>
            <w:tcW w:w="1103" w:type="dxa"/>
          </w:tcPr>
          <w:p>
            <w:pPr>
              <w:jc w:val="left"/>
              <w:rPr>
                <w:rStyle w:val="11"/>
                <w:rFonts w:hint="default"/>
                <w:sz w:val="21"/>
                <w:szCs w:val="21"/>
              </w:rPr>
            </w:pPr>
          </w:p>
        </w:tc>
        <w:tc>
          <w:tcPr>
            <w:tcW w:w="682" w:type="dxa"/>
          </w:tcPr>
          <w:p>
            <w:pPr>
              <w:jc w:val="left"/>
              <w:rPr>
                <w:rStyle w:val="11"/>
                <w:rFonts w:hint="default"/>
                <w:sz w:val="21"/>
                <w:szCs w:val="21"/>
              </w:rPr>
            </w:pPr>
            <w:r>
              <w:rPr>
                <w:rStyle w:val="11"/>
                <w:rFonts w:hint="default"/>
                <w:sz w:val="21"/>
                <w:szCs w:val="21"/>
              </w:rPr>
              <w:t>2</w:t>
            </w:r>
          </w:p>
        </w:tc>
        <w:tc>
          <w:tcPr>
            <w:tcW w:w="669" w:type="dxa"/>
          </w:tcPr>
          <w:p>
            <w:pPr>
              <w:jc w:val="left"/>
              <w:rPr>
                <w:rStyle w:val="11"/>
                <w:rFonts w:hint="default"/>
                <w:sz w:val="21"/>
                <w:szCs w:val="21"/>
              </w:rPr>
            </w:pPr>
            <w:r>
              <w:rPr>
                <w:rStyle w:val="11"/>
                <w:rFonts w:hint="default"/>
                <w:sz w:val="21"/>
                <w:szCs w:val="21"/>
              </w:rPr>
              <w:t>对</w:t>
            </w:r>
          </w:p>
        </w:tc>
        <w:tc>
          <w:tcPr>
            <w:tcW w:w="4864" w:type="dxa"/>
          </w:tcPr>
          <w:p>
            <w:pPr>
              <w:jc w:val="left"/>
              <w:rPr>
                <w:rStyle w:val="11"/>
                <w:sz w:val="18"/>
                <w:szCs w:val="18"/>
              </w:rPr>
            </w:pPr>
            <w:r>
              <w:rPr>
                <w:rStyle w:val="11"/>
                <w:sz w:val="18"/>
                <w:szCs w:val="18"/>
              </w:rPr>
              <w:t>1口千兆光纤收发器工业导轨式发送机</w:t>
            </w:r>
          </w:p>
          <w:p>
            <w:pPr>
              <w:jc w:val="left"/>
              <w:rPr>
                <w:rStyle w:val="11"/>
                <w:sz w:val="18"/>
                <w:szCs w:val="18"/>
              </w:rPr>
            </w:pPr>
            <w:r>
              <w:rPr>
                <w:rStyle w:val="11"/>
                <w:sz w:val="18"/>
                <w:szCs w:val="18"/>
              </w:rPr>
              <w:t>光口：1个千兆光口</w:t>
            </w:r>
          </w:p>
          <w:p>
            <w:pPr>
              <w:jc w:val="left"/>
              <w:rPr>
                <w:rStyle w:val="11"/>
                <w:sz w:val="18"/>
                <w:szCs w:val="18"/>
              </w:rPr>
            </w:pPr>
            <w:r>
              <w:rPr>
                <w:rStyle w:val="11"/>
                <w:sz w:val="18"/>
                <w:szCs w:val="18"/>
              </w:rPr>
              <w:t>距离20公里</w:t>
            </w:r>
          </w:p>
          <w:p>
            <w:pPr>
              <w:jc w:val="left"/>
              <w:rPr>
                <w:rStyle w:val="11"/>
                <w:sz w:val="18"/>
                <w:szCs w:val="18"/>
              </w:rPr>
            </w:pPr>
            <w:r>
              <w:rPr>
                <w:rStyle w:val="11"/>
                <w:sz w:val="18"/>
                <w:szCs w:val="18"/>
              </w:rPr>
              <w:t>FC口</w:t>
            </w:r>
          </w:p>
          <w:p>
            <w:pPr>
              <w:jc w:val="left"/>
              <w:rPr>
                <w:rStyle w:val="11"/>
                <w:rFonts w:hint="default"/>
                <w:sz w:val="18"/>
                <w:szCs w:val="18"/>
              </w:rPr>
            </w:pPr>
            <w:r>
              <w:rPr>
                <w:rStyle w:val="11"/>
                <w:sz w:val="18"/>
                <w:szCs w:val="18"/>
              </w:rPr>
              <w:t>单模单纤；电口：1个千兆网口；安装方式：工业导轨式；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65" w:type="dxa"/>
          </w:tcPr>
          <w:p>
            <w:pPr>
              <w:jc w:val="left"/>
              <w:rPr>
                <w:rStyle w:val="11"/>
                <w:rFonts w:hint="default"/>
                <w:sz w:val="21"/>
                <w:szCs w:val="21"/>
              </w:rPr>
            </w:pPr>
            <w:r>
              <w:rPr>
                <w:rStyle w:val="11"/>
                <w:rFonts w:hint="default"/>
                <w:sz w:val="21"/>
                <w:szCs w:val="21"/>
              </w:rPr>
              <w:t>5</w:t>
            </w:r>
          </w:p>
        </w:tc>
        <w:tc>
          <w:tcPr>
            <w:tcW w:w="1661" w:type="dxa"/>
          </w:tcPr>
          <w:p>
            <w:pPr>
              <w:jc w:val="left"/>
              <w:rPr>
                <w:rStyle w:val="11"/>
                <w:rFonts w:hint="default"/>
                <w:sz w:val="21"/>
                <w:szCs w:val="21"/>
              </w:rPr>
            </w:pPr>
            <w:r>
              <w:rPr>
                <w:rStyle w:val="11"/>
                <w:rFonts w:hint="default"/>
                <w:sz w:val="21"/>
                <w:szCs w:val="21"/>
              </w:rPr>
              <w:t>大屏扩容费</w:t>
            </w:r>
          </w:p>
        </w:tc>
        <w:tc>
          <w:tcPr>
            <w:tcW w:w="1103" w:type="dxa"/>
          </w:tcPr>
          <w:p>
            <w:pPr>
              <w:jc w:val="left"/>
              <w:rPr>
                <w:rFonts w:ascii="宋体" w:hAnsi="宋体"/>
                <w:color w:val="000000"/>
                <w:szCs w:val="21"/>
              </w:rPr>
            </w:pPr>
          </w:p>
        </w:tc>
        <w:tc>
          <w:tcPr>
            <w:tcW w:w="682" w:type="dxa"/>
          </w:tcPr>
          <w:p>
            <w:pPr>
              <w:jc w:val="left"/>
              <w:rPr>
                <w:rStyle w:val="11"/>
                <w:rFonts w:hint="default" w:eastAsia="宋体"/>
                <w:sz w:val="21"/>
                <w:szCs w:val="21"/>
                <w:lang w:val="en-US" w:eastAsia="zh-CN"/>
              </w:rPr>
            </w:pPr>
            <w:r>
              <w:rPr>
                <w:rStyle w:val="11"/>
                <w:rFonts w:hint="eastAsia"/>
                <w:sz w:val="21"/>
                <w:szCs w:val="21"/>
                <w:lang w:val="en-US" w:eastAsia="zh-CN"/>
              </w:rPr>
              <w:t>52</w:t>
            </w:r>
          </w:p>
        </w:tc>
        <w:tc>
          <w:tcPr>
            <w:tcW w:w="669" w:type="dxa"/>
          </w:tcPr>
          <w:p>
            <w:pPr>
              <w:jc w:val="left"/>
              <w:rPr>
                <w:rStyle w:val="11"/>
                <w:rFonts w:hint="default"/>
                <w:sz w:val="21"/>
                <w:szCs w:val="21"/>
              </w:rPr>
            </w:pPr>
            <w:r>
              <w:rPr>
                <w:rStyle w:val="11"/>
                <w:rFonts w:hint="default"/>
                <w:sz w:val="21"/>
                <w:szCs w:val="21"/>
              </w:rPr>
              <w:t>个</w:t>
            </w:r>
          </w:p>
        </w:tc>
        <w:tc>
          <w:tcPr>
            <w:tcW w:w="4864" w:type="dxa"/>
          </w:tcPr>
          <w:p>
            <w:pPr>
              <w:tabs>
                <w:tab w:val="center" w:pos="2324"/>
              </w:tabs>
              <w:jc w:val="left"/>
              <w:rPr>
                <w:rStyle w:val="11"/>
                <w:rFonts w:hint="eastAsia" w:eastAsia="宋体"/>
                <w:b/>
                <w:bCs/>
                <w:sz w:val="18"/>
                <w:szCs w:val="18"/>
                <w:lang w:eastAsia="zh-CN"/>
              </w:rPr>
            </w:pPr>
            <w:r>
              <w:rPr>
                <w:rStyle w:val="11"/>
                <w:rFonts w:hint="eastAsia" w:ascii="微软雅黑" w:hAnsi="微软雅黑" w:eastAsia="微软雅黑" w:cs="微软雅黑"/>
                <w:b/>
                <w:bCs/>
                <w:sz w:val="20"/>
                <w:szCs w:val="20"/>
                <w:lang w:eastAsia="zh-CN"/>
              </w:rPr>
              <w:t>★</w:t>
            </w:r>
            <w:r>
              <w:rPr>
                <w:rStyle w:val="11"/>
                <w:rFonts w:hint="eastAsia"/>
                <w:b/>
                <w:bCs/>
                <w:sz w:val="20"/>
                <w:szCs w:val="20"/>
                <w:lang w:eastAsia="zh-CN"/>
              </w:rPr>
              <w:t>要求对接多媒体教室软件，上大屏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65" w:type="dxa"/>
          </w:tcPr>
          <w:p>
            <w:pPr>
              <w:jc w:val="left"/>
              <w:rPr>
                <w:rStyle w:val="11"/>
                <w:rFonts w:hint="default"/>
                <w:sz w:val="21"/>
                <w:szCs w:val="21"/>
              </w:rPr>
            </w:pPr>
            <w:r>
              <w:rPr>
                <w:rStyle w:val="11"/>
                <w:rFonts w:hint="default"/>
                <w:sz w:val="21"/>
                <w:szCs w:val="21"/>
              </w:rPr>
              <w:t>6</w:t>
            </w:r>
          </w:p>
        </w:tc>
        <w:tc>
          <w:tcPr>
            <w:tcW w:w="1661" w:type="dxa"/>
          </w:tcPr>
          <w:p>
            <w:pPr>
              <w:jc w:val="left"/>
              <w:rPr>
                <w:rStyle w:val="11"/>
                <w:rFonts w:hint="default"/>
                <w:color w:val="auto"/>
                <w:sz w:val="21"/>
                <w:szCs w:val="21"/>
              </w:rPr>
            </w:pPr>
            <w:r>
              <w:rPr>
                <w:rStyle w:val="11"/>
                <w:rFonts w:hint="default"/>
                <w:color w:val="auto"/>
                <w:sz w:val="21"/>
                <w:szCs w:val="21"/>
              </w:rPr>
              <w:t>64路录像机</w:t>
            </w:r>
          </w:p>
        </w:tc>
        <w:tc>
          <w:tcPr>
            <w:tcW w:w="1103" w:type="dxa"/>
          </w:tcPr>
          <w:p>
            <w:pPr>
              <w:jc w:val="left"/>
              <w:rPr>
                <w:rFonts w:ascii="宋体" w:hAnsi="宋体"/>
                <w:color w:val="auto"/>
                <w:szCs w:val="21"/>
              </w:rPr>
            </w:pPr>
            <w:r>
              <w:rPr>
                <w:rStyle w:val="11"/>
                <w:rFonts w:hint="default"/>
                <w:color w:val="auto"/>
                <w:sz w:val="21"/>
                <w:szCs w:val="21"/>
              </w:rPr>
              <w:t>海康威视</w:t>
            </w:r>
          </w:p>
        </w:tc>
        <w:tc>
          <w:tcPr>
            <w:tcW w:w="682" w:type="dxa"/>
          </w:tcPr>
          <w:p>
            <w:pPr>
              <w:jc w:val="left"/>
              <w:rPr>
                <w:rStyle w:val="11"/>
                <w:rFonts w:hint="default"/>
                <w:sz w:val="21"/>
                <w:szCs w:val="21"/>
              </w:rPr>
            </w:pPr>
            <w:r>
              <w:rPr>
                <w:rStyle w:val="11"/>
                <w:rFonts w:hint="default"/>
                <w:sz w:val="21"/>
                <w:szCs w:val="21"/>
              </w:rPr>
              <w:t>1</w:t>
            </w:r>
          </w:p>
        </w:tc>
        <w:tc>
          <w:tcPr>
            <w:tcW w:w="669" w:type="dxa"/>
          </w:tcPr>
          <w:p>
            <w:pPr>
              <w:jc w:val="left"/>
              <w:rPr>
                <w:rStyle w:val="11"/>
                <w:rFonts w:hint="default"/>
                <w:sz w:val="21"/>
                <w:szCs w:val="21"/>
              </w:rPr>
            </w:pPr>
            <w:r>
              <w:rPr>
                <w:rStyle w:val="11"/>
                <w:rFonts w:hint="default"/>
                <w:sz w:val="21"/>
                <w:szCs w:val="21"/>
              </w:rPr>
              <w:t>台</w:t>
            </w:r>
          </w:p>
        </w:tc>
        <w:tc>
          <w:tcPr>
            <w:tcW w:w="4864" w:type="dxa"/>
          </w:tcPr>
          <w:p>
            <w:pPr>
              <w:jc w:val="left"/>
              <w:rPr>
                <w:rStyle w:val="11"/>
                <w:sz w:val="18"/>
                <w:szCs w:val="18"/>
              </w:rPr>
            </w:pPr>
            <w:r>
              <w:rPr>
                <w:rStyle w:val="11"/>
                <w:sz w:val="18"/>
                <w:szCs w:val="18"/>
              </w:rPr>
              <w:t>2U标准机架式8盘位网络硬盘录像机，高性能ATX电源</w:t>
            </w:r>
          </w:p>
          <w:p>
            <w:pPr>
              <w:jc w:val="left"/>
              <w:rPr>
                <w:rStyle w:val="11"/>
                <w:sz w:val="18"/>
                <w:szCs w:val="18"/>
              </w:rPr>
            </w:pPr>
            <w:r>
              <w:rPr>
                <w:rStyle w:val="11"/>
                <w:sz w:val="18"/>
                <w:szCs w:val="18"/>
              </w:rPr>
              <w:t>支持满配12TB硬盘（总容量96TB)</w:t>
            </w:r>
          </w:p>
          <w:p>
            <w:pPr>
              <w:jc w:val="left"/>
              <w:rPr>
                <w:rStyle w:val="11"/>
                <w:sz w:val="18"/>
                <w:szCs w:val="18"/>
              </w:rPr>
            </w:pPr>
            <w:r>
              <w:rPr>
                <w:rStyle w:val="11"/>
                <w:sz w:val="18"/>
                <w:szCs w:val="18"/>
              </w:rPr>
              <w:t>2个HDMI接口、2个VGA接口，双异源输出</w:t>
            </w:r>
          </w:p>
          <w:p>
            <w:pPr>
              <w:jc w:val="left"/>
              <w:rPr>
                <w:rStyle w:val="11"/>
                <w:sz w:val="18"/>
                <w:szCs w:val="18"/>
              </w:rPr>
            </w:pPr>
            <w:r>
              <w:rPr>
                <w:rStyle w:val="11"/>
                <w:sz w:val="18"/>
                <w:szCs w:val="18"/>
              </w:rPr>
              <w:t>2个10M/100M/1000Mbps网口</w:t>
            </w:r>
          </w:p>
          <w:p>
            <w:pPr>
              <w:jc w:val="left"/>
              <w:rPr>
                <w:rStyle w:val="11"/>
                <w:sz w:val="18"/>
                <w:szCs w:val="18"/>
              </w:rPr>
            </w:pPr>
            <w:r>
              <w:rPr>
                <w:rStyle w:val="11"/>
                <w:sz w:val="18"/>
                <w:szCs w:val="18"/>
              </w:rPr>
              <w:t>2个USB2.0接口、1个USB3.0接口</w:t>
            </w:r>
          </w:p>
          <w:p>
            <w:pPr>
              <w:jc w:val="left"/>
              <w:rPr>
                <w:rStyle w:val="11"/>
                <w:sz w:val="18"/>
                <w:szCs w:val="18"/>
              </w:rPr>
            </w:pPr>
            <w:r>
              <w:rPr>
                <w:rStyle w:val="11"/>
                <w:sz w:val="18"/>
                <w:szCs w:val="18"/>
              </w:rPr>
              <w:t>1个eSATA接口</w:t>
            </w:r>
          </w:p>
          <w:p>
            <w:pPr>
              <w:jc w:val="left"/>
              <w:rPr>
                <w:rStyle w:val="11"/>
                <w:sz w:val="18"/>
                <w:szCs w:val="18"/>
              </w:rPr>
            </w:pPr>
            <w:r>
              <w:rPr>
                <w:rStyle w:val="11"/>
                <w:sz w:val="18"/>
                <w:szCs w:val="18"/>
              </w:rPr>
              <w:t>报警IO接口：16路报警输入，4路报警输出</w:t>
            </w:r>
          </w:p>
          <w:p>
            <w:pPr>
              <w:jc w:val="left"/>
              <w:rPr>
                <w:rStyle w:val="11"/>
                <w:sz w:val="18"/>
                <w:szCs w:val="18"/>
              </w:rPr>
            </w:pPr>
            <w:r>
              <w:rPr>
                <w:rStyle w:val="11"/>
                <w:sz w:val="18"/>
                <w:szCs w:val="18"/>
              </w:rPr>
              <w:t>串行接口：1路全双工485接口 ，1路标准RS-232接口</w:t>
            </w:r>
          </w:p>
          <w:p>
            <w:pPr>
              <w:jc w:val="left"/>
              <w:rPr>
                <w:rStyle w:val="11"/>
                <w:sz w:val="18"/>
                <w:szCs w:val="18"/>
              </w:rPr>
            </w:pPr>
          </w:p>
          <w:p>
            <w:pPr>
              <w:jc w:val="left"/>
              <w:rPr>
                <w:rStyle w:val="11"/>
                <w:sz w:val="18"/>
                <w:szCs w:val="18"/>
              </w:rPr>
            </w:pPr>
            <w:r>
              <w:rPr>
                <w:rStyle w:val="11"/>
                <w:sz w:val="18"/>
                <w:szCs w:val="18"/>
              </w:rPr>
              <w:t>【产品性能】</w:t>
            </w:r>
          </w:p>
          <w:p>
            <w:pPr>
              <w:jc w:val="left"/>
              <w:rPr>
                <w:rStyle w:val="11"/>
                <w:sz w:val="18"/>
                <w:szCs w:val="18"/>
              </w:rPr>
            </w:pPr>
            <w:r>
              <w:rPr>
                <w:rStyle w:val="11"/>
                <w:sz w:val="18"/>
                <w:szCs w:val="18"/>
              </w:rPr>
              <w:t>输入带宽：320Mbps</w:t>
            </w:r>
          </w:p>
          <w:p>
            <w:pPr>
              <w:jc w:val="left"/>
              <w:rPr>
                <w:rStyle w:val="11"/>
                <w:sz w:val="18"/>
                <w:szCs w:val="18"/>
              </w:rPr>
            </w:pPr>
            <w:r>
              <w:rPr>
                <w:rStyle w:val="11"/>
                <w:sz w:val="18"/>
                <w:szCs w:val="18"/>
              </w:rPr>
              <w:t>输出带宽：256Mbps</w:t>
            </w:r>
          </w:p>
          <w:p>
            <w:pPr>
              <w:jc w:val="left"/>
              <w:rPr>
                <w:rStyle w:val="11"/>
                <w:sz w:val="18"/>
                <w:szCs w:val="18"/>
              </w:rPr>
            </w:pPr>
            <w:r>
              <w:rPr>
                <w:rStyle w:val="11"/>
                <w:sz w:val="18"/>
                <w:szCs w:val="18"/>
              </w:rPr>
              <w:t>接入能力：64路H.264、H.265格式高清码流接入</w:t>
            </w:r>
          </w:p>
          <w:p>
            <w:pPr>
              <w:jc w:val="left"/>
              <w:rPr>
                <w:rStyle w:val="11"/>
                <w:sz w:val="18"/>
                <w:szCs w:val="18"/>
              </w:rPr>
            </w:pPr>
            <w:r>
              <w:rPr>
                <w:rStyle w:val="11"/>
                <w:sz w:val="18"/>
                <w:szCs w:val="18"/>
              </w:rPr>
              <w:t>解码能力：最大支持16×1080P</w:t>
            </w:r>
          </w:p>
          <w:p>
            <w:pPr>
              <w:jc w:val="left"/>
              <w:rPr>
                <w:rStyle w:val="11"/>
                <w:sz w:val="18"/>
                <w:szCs w:val="18"/>
              </w:rPr>
            </w:pPr>
            <w:r>
              <w:rPr>
                <w:rStyle w:val="11"/>
                <w:sz w:val="18"/>
                <w:szCs w:val="18"/>
              </w:rPr>
              <w:t>RAID模式：RAID0、RAID1、RAID5、RAID6、RAID10，支持全局热备盘</w:t>
            </w:r>
          </w:p>
          <w:p>
            <w:pPr>
              <w:jc w:val="left"/>
              <w:rPr>
                <w:rStyle w:val="11"/>
                <w:sz w:val="18"/>
                <w:szCs w:val="18"/>
              </w:rPr>
            </w:pPr>
            <w:r>
              <w:rPr>
                <w:rStyle w:val="11"/>
                <w:sz w:val="18"/>
                <w:szCs w:val="18"/>
              </w:rPr>
              <w:t>（仅支持监控级AI盘或企业级硬盘启用RAID）</w:t>
            </w:r>
          </w:p>
          <w:p>
            <w:pPr>
              <w:jc w:val="left"/>
              <w:rPr>
                <w:rStyle w:val="11"/>
                <w:sz w:val="18"/>
                <w:szCs w:val="18"/>
              </w:rPr>
            </w:pPr>
          </w:p>
          <w:p>
            <w:pPr>
              <w:jc w:val="left"/>
              <w:rPr>
                <w:rStyle w:val="11"/>
                <w:sz w:val="18"/>
                <w:szCs w:val="18"/>
              </w:rPr>
            </w:pPr>
            <w:r>
              <w:rPr>
                <w:rStyle w:val="11"/>
                <w:sz w:val="18"/>
                <w:szCs w:val="18"/>
              </w:rPr>
              <w:t>【智能应用】</w:t>
            </w:r>
          </w:p>
          <w:p>
            <w:pPr>
              <w:jc w:val="left"/>
              <w:rPr>
                <w:rStyle w:val="11"/>
                <w:sz w:val="18"/>
                <w:szCs w:val="18"/>
              </w:rPr>
            </w:pPr>
            <w:r>
              <w:rPr>
                <w:rStyle w:val="11"/>
                <w:sz w:val="18"/>
                <w:szCs w:val="18"/>
              </w:rPr>
              <w:t>目标识别应用：</w:t>
            </w:r>
          </w:p>
          <w:p>
            <w:pPr>
              <w:jc w:val="left"/>
              <w:rPr>
                <w:rStyle w:val="11"/>
                <w:sz w:val="18"/>
                <w:szCs w:val="18"/>
              </w:rPr>
            </w:pPr>
            <w:r>
              <w:rPr>
                <w:rStyle w:val="11"/>
                <w:sz w:val="18"/>
                <w:szCs w:val="18"/>
              </w:rPr>
              <w:t>名单库比对报警，支持最大4路图片流分析或1路视频流分析（400W视频流）</w:t>
            </w:r>
          </w:p>
          <w:p>
            <w:pPr>
              <w:jc w:val="left"/>
              <w:rPr>
                <w:rStyle w:val="11"/>
                <w:sz w:val="18"/>
                <w:szCs w:val="18"/>
              </w:rPr>
            </w:pPr>
            <w:r>
              <w:rPr>
                <w:rStyle w:val="11"/>
                <w:sz w:val="18"/>
                <w:szCs w:val="18"/>
              </w:rPr>
              <w:t>16个目标名单库，总库容1万张（证件照）</w:t>
            </w:r>
          </w:p>
          <w:p>
            <w:pPr>
              <w:jc w:val="left"/>
              <w:rPr>
                <w:rStyle w:val="11"/>
                <w:sz w:val="18"/>
                <w:szCs w:val="18"/>
              </w:rPr>
            </w:pPr>
            <w:r>
              <w:rPr>
                <w:rStyle w:val="11"/>
                <w:sz w:val="18"/>
                <w:szCs w:val="18"/>
              </w:rPr>
              <w:t>支持陌生人报警、目标1V1比对</w:t>
            </w:r>
          </w:p>
          <w:p>
            <w:pPr>
              <w:jc w:val="left"/>
              <w:rPr>
                <w:rStyle w:val="11"/>
                <w:sz w:val="18"/>
                <w:szCs w:val="18"/>
              </w:rPr>
            </w:pPr>
            <w:r>
              <w:rPr>
                <w:rStyle w:val="11"/>
                <w:sz w:val="18"/>
                <w:szCs w:val="18"/>
              </w:rPr>
              <w:t>支持以图搜图、按姓名检索、按属性检索</w:t>
            </w:r>
          </w:p>
          <w:p>
            <w:pPr>
              <w:jc w:val="left"/>
              <w:rPr>
                <w:rStyle w:val="11"/>
                <w:sz w:val="18"/>
                <w:szCs w:val="18"/>
              </w:rPr>
            </w:pPr>
          </w:p>
          <w:p>
            <w:pPr>
              <w:jc w:val="left"/>
              <w:rPr>
                <w:rStyle w:val="11"/>
                <w:sz w:val="18"/>
                <w:szCs w:val="18"/>
              </w:rPr>
            </w:pPr>
            <w:r>
              <w:rPr>
                <w:rStyle w:val="11"/>
                <w:sz w:val="18"/>
                <w:szCs w:val="18"/>
              </w:rPr>
              <w:t>GPU分析能力：</w:t>
            </w:r>
          </w:p>
          <w:p>
            <w:pPr>
              <w:jc w:val="left"/>
              <w:rPr>
                <w:rStyle w:val="11"/>
                <w:rFonts w:hint="default"/>
                <w:sz w:val="18"/>
                <w:szCs w:val="18"/>
              </w:rPr>
            </w:pPr>
            <w:r>
              <w:rPr>
                <w:rStyle w:val="11"/>
                <w:sz w:val="18"/>
                <w:szCs w:val="18"/>
              </w:rPr>
              <w:t>图片流：4路；视频流：1路200W/1路400W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left"/>
              <w:rPr>
                <w:rStyle w:val="11"/>
                <w:rFonts w:hint="default"/>
                <w:color w:val="auto"/>
                <w:sz w:val="21"/>
                <w:szCs w:val="21"/>
              </w:rPr>
            </w:pPr>
            <w:r>
              <w:rPr>
                <w:rStyle w:val="11"/>
                <w:rFonts w:hint="default"/>
                <w:color w:val="auto"/>
                <w:sz w:val="21"/>
                <w:szCs w:val="21"/>
              </w:rPr>
              <w:t>7</w:t>
            </w:r>
          </w:p>
        </w:tc>
        <w:tc>
          <w:tcPr>
            <w:tcW w:w="1661" w:type="dxa"/>
          </w:tcPr>
          <w:p>
            <w:pPr>
              <w:jc w:val="left"/>
              <w:rPr>
                <w:rStyle w:val="11"/>
                <w:rFonts w:hint="default"/>
                <w:color w:val="auto"/>
                <w:sz w:val="21"/>
                <w:szCs w:val="21"/>
              </w:rPr>
            </w:pPr>
            <w:r>
              <w:rPr>
                <w:rStyle w:val="11"/>
                <w:rFonts w:hint="default"/>
                <w:color w:val="auto"/>
                <w:sz w:val="21"/>
                <w:szCs w:val="21"/>
              </w:rPr>
              <w:t>8T硬盘</w:t>
            </w:r>
          </w:p>
        </w:tc>
        <w:tc>
          <w:tcPr>
            <w:tcW w:w="1103" w:type="dxa"/>
          </w:tcPr>
          <w:p>
            <w:pPr>
              <w:jc w:val="left"/>
              <w:rPr>
                <w:rStyle w:val="11"/>
                <w:rFonts w:hint="default"/>
                <w:color w:val="auto"/>
                <w:sz w:val="21"/>
                <w:szCs w:val="21"/>
              </w:rPr>
            </w:pPr>
          </w:p>
        </w:tc>
        <w:tc>
          <w:tcPr>
            <w:tcW w:w="682" w:type="dxa"/>
          </w:tcPr>
          <w:p>
            <w:pPr>
              <w:jc w:val="left"/>
              <w:rPr>
                <w:rStyle w:val="11"/>
                <w:rFonts w:hint="eastAsia" w:eastAsia="宋体"/>
                <w:color w:val="auto"/>
                <w:sz w:val="21"/>
                <w:szCs w:val="21"/>
                <w:lang w:eastAsia="zh-CN"/>
              </w:rPr>
            </w:pPr>
            <w:r>
              <w:rPr>
                <w:rStyle w:val="11"/>
                <w:rFonts w:hint="eastAsia"/>
                <w:color w:val="auto"/>
                <w:sz w:val="21"/>
                <w:szCs w:val="21"/>
                <w:lang w:val="en-US" w:eastAsia="zh-CN"/>
              </w:rPr>
              <w:t>8</w:t>
            </w:r>
          </w:p>
        </w:tc>
        <w:tc>
          <w:tcPr>
            <w:tcW w:w="669" w:type="dxa"/>
          </w:tcPr>
          <w:p>
            <w:pPr>
              <w:jc w:val="left"/>
              <w:rPr>
                <w:rStyle w:val="11"/>
                <w:rFonts w:hint="default"/>
                <w:color w:val="auto"/>
                <w:sz w:val="21"/>
                <w:szCs w:val="21"/>
              </w:rPr>
            </w:pPr>
            <w:r>
              <w:rPr>
                <w:rStyle w:val="11"/>
                <w:rFonts w:hint="default"/>
                <w:color w:val="auto"/>
                <w:sz w:val="21"/>
                <w:szCs w:val="21"/>
              </w:rPr>
              <w:t>块</w:t>
            </w:r>
          </w:p>
        </w:tc>
        <w:tc>
          <w:tcPr>
            <w:tcW w:w="4864" w:type="dxa"/>
          </w:tcPr>
          <w:p>
            <w:pPr>
              <w:jc w:val="left"/>
              <w:rPr>
                <w:rStyle w:val="11"/>
                <w:color w:val="auto"/>
                <w:sz w:val="21"/>
                <w:szCs w:val="21"/>
              </w:rPr>
            </w:pPr>
            <w:r>
              <w:rPr>
                <w:rStyle w:val="11"/>
                <w:color w:val="auto"/>
                <w:sz w:val="21"/>
                <w:szCs w:val="21"/>
              </w:rPr>
              <w:t>8TB容量，3.5英寸 SATA 3.0接口，7200RPM</w:t>
            </w:r>
          </w:p>
          <w:p>
            <w:pPr>
              <w:jc w:val="left"/>
              <w:rPr>
                <w:rStyle w:val="11"/>
                <w:color w:val="auto"/>
                <w:sz w:val="21"/>
                <w:szCs w:val="21"/>
              </w:rPr>
            </w:pPr>
            <w:r>
              <w:rPr>
                <w:rStyle w:val="11"/>
                <w:color w:val="auto"/>
                <w:sz w:val="21"/>
                <w:szCs w:val="21"/>
              </w:rPr>
              <w:t>单硬盘支持多达32个摄像头的高清流</w:t>
            </w:r>
          </w:p>
          <w:p>
            <w:pPr>
              <w:jc w:val="left"/>
              <w:rPr>
                <w:rStyle w:val="11"/>
                <w:color w:val="auto"/>
                <w:sz w:val="21"/>
                <w:szCs w:val="21"/>
              </w:rPr>
            </w:pPr>
            <w:r>
              <w:rPr>
                <w:rStyle w:val="11"/>
                <w:color w:val="auto"/>
                <w:sz w:val="21"/>
                <w:szCs w:val="21"/>
              </w:rPr>
              <w:t>高达256MB缓冲区，流畅存储视频有效防止丢帧</w:t>
            </w:r>
          </w:p>
          <w:p>
            <w:pPr>
              <w:jc w:val="left"/>
              <w:rPr>
                <w:rStyle w:val="11"/>
                <w:color w:val="auto"/>
                <w:sz w:val="21"/>
                <w:szCs w:val="21"/>
              </w:rPr>
            </w:pPr>
            <w:r>
              <w:rPr>
                <w:rStyle w:val="11"/>
                <w:color w:val="auto"/>
                <w:sz w:val="21"/>
                <w:szCs w:val="21"/>
              </w:rPr>
              <w:t>24×7全天候高效稳定运行</w:t>
            </w:r>
          </w:p>
          <w:p>
            <w:pPr>
              <w:jc w:val="left"/>
              <w:rPr>
                <w:rStyle w:val="11"/>
                <w:color w:val="auto"/>
                <w:sz w:val="21"/>
                <w:szCs w:val="21"/>
              </w:rPr>
            </w:pPr>
            <w:r>
              <w:rPr>
                <w:rStyle w:val="11"/>
                <w:color w:val="auto"/>
                <w:sz w:val="21"/>
                <w:szCs w:val="21"/>
              </w:rPr>
              <w:t>年度工作负载等级为300TB/年</w:t>
            </w:r>
          </w:p>
          <w:p>
            <w:pPr>
              <w:jc w:val="left"/>
              <w:rPr>
                <w:rStyle w:val="11"/>
                <w:color w:val="auto"/>
                <w:sz w:val="21"/>
                <w:szCs w:val="21"/>
              </w:rPr>
            </w:pPr>
            <w:r>
              <w:rPr>
                <w:rStyle w:val="11"/>
                <w:color w:val="auto"/>
                <w:sz w:val="21"/>
                <w:szCs w:val="21"/>
              </w:rPr>
              <w:t>MTBF可达1,000,000小时</w:t>
            </w:r>
          </w:p>
          <w:p>
            <w:pPr>
              <w:jc w:val="left"/>
              <w:rPr>
                <w:rStyle w:val="11"/>
                <w:color w:val="auto"/>
                <w:sz w:val="21"/>
                <w:szCs w:val="21"/>
              </w:rPr>
            </w:pPr>
            <w:r>
              <w:rPr>
                <w:rStyle w:val="11"/>
                <w:color w:val="auto"/>
                <w:sz w:val="21"/>
                <w:szCs w:val="21"/>
              </w:rPr>
              <w:t>高级格式（AF）512e扇区技术，保障硬盘扇区4K对齐</w:t>
            </w:r>
          </w:p>
          <w:p>
            <w:pPr>
              <w:jc w:val="left"/>
              <w:rPr>
                <w:rStyle w:val="11"/>
                <w:rFonts w:hint="default"/>
                <w:color w:val="auto"/>
                <w:sz w:val="21"/>
                <w:szCs w:val="21"/>
              </w:rPr>
            </w:pPr>
            <w:r>
              <w:rPr>
                <w:rStyle w:val="11"/>
                <w:color w:val="auto"/>
                <w:sz w:val="21"/>
                <w:szCs w:val="21"/>
              </w:rPr>
              <w:t>支持3年有限质保服务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left"/>
              <w:rPr>
                <w:rStyle w:val="11"/>
                <w:rFonts w:hint="eastAsia" w:eastAsia="宋体"/>
                <w:color w:val="auto"/>
                <w:sz w:val="21"/>
                <w:szCs w:val="21"/>
                <w:lang w:val="en-US" w:eastAsia="zh-CN"/>
              </w:rPr>
            </w:pPr>
            <w:r>
              <w:rPr>
                <w:rStyle w:val="11"/>
                <w:rFonts w:hint="eastAsia"/>
                <w:color w:val="auto"/>
                <w:sz w:val="21"/>
                <w:szCs w:val="21"/>
                <w:lang w:val="en-US" w:eastAsia="zh-CN"/>
              </w:rPr>
              <w:t>8</w:t>
            </w:r>
          </w:p>
        </w:tc>
        <w:tc>
          <w:tcPr>
            <w:tcW w:w="1661" w:type="dxa"/>
          </w:tcPr>
          <w:p>
            <w:pPr>
              <w:jc w:val="left"/>
              <w:rPr>
                <w:rStyle w:val="11"/>
                <w:rFonts w:hint="default" w:eastAsia="宋体"/>
                <w:color w:val="auto"/>
                <w:sz w:val="21"/>
                <w:szCs w:val="21"/>
                <w:lang w:val="en-US" w:eastAsia="zh-CN"/>
              </w:rPr>
            </w:pPr>
            <w:r>
              <w:rPr>
                <w:rStyle w:val="11"/>
                <w:rFonts w:hint="default"/>
                <w:color w:val="auto"/>
                <w:sz w:val="21"/>
                <w:szCs w:val="21"/>
              </w:rPr>
              <w:t>施工费</w:t>
            </w:r>
            <w:r>
              <w:rPr>
                <w:rStyle w:val="11"/>
                <w:rFonts w:hint="eastAsia"/>
                <w:color w:val="auto"/>
                <w:sz w:val="21"/>
                <w:szCs w:val="21"/>
                <w:lang w:eastAsia="zh-CN"/>
              </w:rPr>
              <w:t>（</w:t>
            </w:r>
            <w:r>
              <w:rPr>
                <w:rStyle w:val="11"/>
                <w:rFonts w:hint="eastAsia"/>
                <w:color w:val="auto"/>
                <w:sz w:val="21"/>
                <w:szCs w:val="21"/>
                <w:lang w:val="en-US" w:eastAsia="zh-CN"/>
              </w:rPr>
              <w:t>含辅材）</w:t>
            </w:r>
          </w:p>
        </w:tc>
        <w:tc>
          <w:tcPr>
            <w:tcW w:w="1103" w:type="dxa"/>
          </w:tcPr>
          <w:p>
            <w:pPr>
              <w:jc w:val="left"/>
              <w:rPr>
                <w:rStyle w:val="11"/>
                <w:rFonts w:hint="default"/>
                <w:color w:val="auto"/>
                <w:sz w:val="21"/>
                <w:szCs w:val="21"/>
              </w:rPr>
            </w:pPr>
          </w:p>
        </w:tc>
        <w:tc>
          <w:tcPr>
            <w:tcW w:w="682" w:type="dxa"/>
          </w:tcPr>
          <w:p>
            <w:pPr>
              <w:jc w:val="left"/>
              <w:rPr>
                <w:rStyle w:val="11"/>
                <w:rFonts w:hint="default"/>
                <w:color w:val="auto"/>
                <w:sz w:val="21"/>
                <w:szCs w:val="21"/>
              </w:rPr>
            </w:pPr>
            <w:r>
              <w:rPr>
                <w:rStyle w:val="11"/>
                <w:rFonts w:hint="default"/>
                <w:color w:val="auto"/>
                <w:sz w:val="21"/>
                <w:szCs w:val="21"/>
              </w:rPr>
              <w:t>1</w:t>
            </w:r>
          </w:p>
        </w:tc>
        <w:tc>
          <w:tcPr>
            <w:tcW w:w="669" w:type="dxa"/>
          </w:tcPr>
          <w:p>
            <w:pPr>
              <w:jc w:val="left"/>
              <w:rPr>
                <w:rStyle w:val="11"/>
                <w:rFonts w:hint="default" w:eastAsia="宋体"/>
                <w:color w:val="auto"/>
                <w:sz w:val="21"/>
                <w:szCs w:val="21"/>
                <w:lang w:val="en-US" w:eastAsia="zh-CN"/>
              </w:rPr>
            </w:pPr>
            <w:r>
              <w:rPr>
                <w:rStyle w:val="11"/>
                <w:rFonts w:hint="eastAsia"/>
                <w:color w:val="auto"/>
                <w:sz w:val="21"/>
                <w:szCs w:val="21"/>
                <w:lang w:val="en-US" w:eastAsia="zh-CN"/>
              </w:rPr>
              <w:t>项</w:t>
            </w:r>
          </w:p>
        </w:tc>
        <w:tc>
          <w:tcPr>
            <w:tcW w:w="4864" w:type="dxa"/>
          </w:tcPr>
          <w:p>
            <w:pPr>
              <w:jc w:val="left"/>
              <w:rPr>
                <w:rStyle w:val="11"/>
                <w:rFonts w:hint="default" w:eastAsia="宋体"/>
                <w:color w:val="auto"/>
                <w:sz w:val="21"/>
                <w:szCs w:val="21"/>
                <w:lang w:val="en-US" w:eastAsia="zh-CN"/>
              </w:rPr>
            </w:pPr>
            <w:r>
              <w:rPr>
                <w:rStyle w:val="11"/>
                <w:rFonts w:hint="eastAsia"/>
                <w:color w:val="auto"/>
                <w:sz w:val="21"/>
                <w:szCs w:val="21"/>
                <w:lang w:val="en-US" w:eastAsia="zh-CN"/>
              </w:rPr>
              <w:t>必须现场勘察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left"/>
              <w:rPr>
                <w:rStyle w:val="11"/>
                <w:rFonts w:hint="eastAsia"/>
                <w:color w:val="auto"/>
                <w:sz w:val="21"/>
                <w:szCs w:val="21"/>
                <w:lang w:val="en-US" w:eastAsia="zh-CN"/>
              </w:rPr>
            </w:pPr>
            <w:r>
              <w:rPr>
                <w:rStyle w:val="11"/>
                <w:rFonts w:hint="eastAsia"/>
                <w:color w:val="auto"/>
                <w:sz w:val="21"/>
                <w:szCs w:val="21"/>
                <w:lang w:val="en-US" w:eastAsia="zh-CN"/>
              </w:rPr>
              <w:t>备注</w:t>
            </w:r>
          </w:p>
        </w:tc>
        <w:tc>
          <w:tcPr>
            <w:tcW w:w="8979" w:type="dxa"/>
            <w:gridSpan w:val="5"/>
          </w:tcPr>
          <w:p>
            <w:pPr>
              <w:jc w:val="left"/>
              <w:rPr>
                <w:rStyle w:val="11"/>
                <w:rFonts w:hint="default"/>
                <w:color w:val="auto"/>
                <w:sz w:val="21"/>
                <w:szCs w:val="21"/>
                <w:lang w:val="en-US" w:eastAsia="zh-CN"/>
              </w:rPr>
            </w:pPr>
            <w:r>
              <w:rPr>
                <w:rStyle w:val="11"/>
                <w:rFonts w:hint="eastAsia"/>
                <w:color w:val="auto"/>
                <w:sz w:val="21"/>
                <w:szCs w:val="21"/>
                <w:lang w:val="en-US" w:eastAsia="zh-CN"/>
              </w:rPr>
              <w:t>存储量达30天或以上及2小时内上门维修响应</w:t>
            </w:r>
          </w:p>
        </w:tc>
      </w:tr>
    </w:tbl>
    <w:p>
      <w:pPr>
        <w:spacing w:line="560" w:lineRule="exact"/>
        <w:jc w:val="center"/>
        <w:rPr>
          <w:rFonts w:ascii="宋体" w:hAnsi="宋体"/>
          <w:b/>
          <w:bCs/>
          <w:sz w:val="44"/>
          <w:szCs w:val="52"/>
        </w:rPr>
      </w:pPr>
    </w:p>
    <w:sectPr>
      <w:pgSz w:w="11906" w:h="16838"/>
      <w:pgMar w:top="935" w:right="1800" w:bottom="109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1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jBhN2QyNDljYThlOTE4NWE4OWRiZmUxNTFhY2YifQ=="/>
  </w:docVars>
  <w:rsids>
    <w:rsidRoot w:val="00172A27"/>
    <w:rsid w:val="00004164"/>
    <w:rsid w:val="00043E88"/>
    <w:rsid w:val="00047D73"/>
    <w:rsid w:val="00053DA6"/>
    <w:rsid w:val="00065DDE"/>
    <w:rsid w:val="00066D38"/>
    <w:rsid w:val="00067C88"/>
    <w:rsid w:val="000B7C23"/>
    <w:rsid w:val="000C408C"/>
    <w:rsid w:val="000F0BCD"/>
    <w:rsid w:val="001266F6"/>
    <w:rsid w:val="0015177F"/>
    <w:rsid w:val="001578DC"/>
    <w:rsid w:val="001668A1"/>
    <w:rsid w:val="0016771A"/>
    <w:rsid w:val="00172A27"/>
    <w:rsid w:val="00184C30"/>
    <w:rsid w:val="001B652B"/>
    <w:rsid w:val="001C7DA3"/>
    <w:rsid w:val="00202647"/>
    <w:rsid w:val="00210CCF"/>
    <w:rsid w:val="00213150"/>
    <w:rsid w:val="00217085"/>
    <w:rsid w:val="00265B26"/>
    <w:rsid w:val="00274576"/>
    <w:rsid w:val="00274F55"/>
    <w:rsid w:val="002A5BFB"/>
    <w:rsid w:val="002C0D1B"/>
    <w:rsid w:val="002C7D4F"/>
    <w:rsid w:val="002F6927"/>
    <w:rsid w:val="002F7D4A"/>
    <w:rsid w:val="002F7F76"/>
    <w:rsid w:val="0030249D"/>
    <w:rsid w:val="00302D30"/>
    <w:rsid w:val="00316934"/>
    <w:rsid w:val="00321B92"/>
    <w:rsid w:val="00323F07"/>
    <w:rsid w:val="00343B56"/>
    <w:rsid w:val="00377A70"/>
    <w:rsid w:val="00385C93"/>
    <w:rsid w:val="003976D1"/>
    <w:rsid w:val="003A1465"/>
    <w:rsid w:val="003A64B9"/>
    <w:rsid w:val="003B5C5C"/>
    <w:rsid w:val="003D3C70"/>
    <w:rsid w:val="003F2491"/>
    <w:rsid w:val="004033FA"/>
    <w:rsid w:val="00462D64"/>
    <w:rsid w:val="0046403A"/>
    <w:rsid w:val="004B23A3"/>
    <w:rsid w:val="004B7523"/>
    <w:rsid w:val="004B77DC"/>
    <w:rsid w:val="004D5FEA"/>
    <w:rsid w:val="004F014E"/>
    <w:rsid w:val="004F71DE"/>
    <w:rsid w:val="005F2ED3"/>
    <w:rsid w:val="006063CE"/>
    <w:rsid w:val="00647555"/>
    <w:rsid w:val="00651EAC"/>
    <w:rsid w:val="00653552"/>
    <w:rsid w:val="00675967"/>
    <w:rsid w:val="006F1CD6"/>
    <w:rsid w:val="007264A8"/>
    <w:rsid w:val="007269BF"/>
    <w:rsid w:val="0073038E"/>
    <w:rsid w:val="007532F4"/>
    <w:rsid w:val="007B244F"/>
    <w:rsid w:val="007D5DA9"/>
    <w:rsid w:val="008375A0"/>
    <w:rsid w:val="00892A4C"/>
    <w:rsid w:val="008A31FF"/>
    <w:rsid w:val="008C1E1A"/>
    <w:rsid w:val="00916707"/>
    <w:rsid w:val="00917D3C"/>
    <w:rsid w:val="00942CC6"/>
    <w:rsid w:val="00965A86"/>
    <w:rsid w:val="00985E50"/>
    <w:rsid w:val="009917D3"/>
    <w:rsid w:val="00995112"/>
    <w:rsid w:val="009E649A"/>
    <w:rsid w:val="009F0A7A"/>
    <w:rsid w:val="00A038A5"/>
    <w:rsid w:val="00A254DA"/>
    <w:rsid w:val="00A303F1"/>
    <w:rsid w:val="00A379DC"/>
    <w:rsid w:val="00A63684"/>
    <w:rsid w:val="00A8366F"/>
    <w:rsid w:val="00A91F56"/>
    <w:rsid w:val="00AA5DCD"/>
    <w:rsid w:val="00AB4207"/>
    <w:rsid w:val="00AC6FA2"/>
    <w:rsid w:val="00AE4246"/>
    <w:rsid w:val="00AE6562"/>
    <w:rsid w:val="00B05FF0"/>
    <w:rsid w:val="00B13CBB"/>
    <w:rsid w:val="00B262D3"/>
    <w:rsid w:val="00B50E7A"/>
    <w:rsid w:val="00B87D4F"/>
    <w:rsid w:val="00BF0A22"/>
    <w:rsid w:val="00C4185A"/>
    <w:rsid w:val="00C51DFB"/>
    <w:rsid w:val="00C8185F"/>
    <w:rsid w:val="00CA580C"/>
    <w:rsid w:val="00CB45F0"/>
    <w:rsid w:val="00CB46EC"/>
    <w:rsid w:val="00CE3EEE"/>
    <w:rsid w:val="00CF7621"/>
    <w:rsid w:val="00D35BC2"/>
    <w:rsid w:val="00D434AD"/>
    <w:rsid w:val="00DC52D0"/>
    <w:rsid w:val="00DD02D2"/>
    <w:rsid w:val="00DF7C5C"/>
    <w:rsid w:val="00E16259"/>
    <w:rsid w:val="00E2647B"/>
    <w:rsid w:val="00E550DB"/>
    <w:rsid w:val="00E84077"/>
    <w:rsid w:val="00EE0F6A"/>
    <w:rsid w:val="00EF3B20"/>
    <w:rsid w:val="00F078A1"/>
    <w:rsid w:val="00F158B0"/>
    <w:rsid w:val="00F255C9"/>
    <w:rsid w:val="00F7370B"/>
    <w:rsid w:val="00F74B69"/>
    <w:rsid w:val="00F764C1"/>
    <w:rsid w:val="00FF5240"/>
    <w:rsid w:val="03FA528E"/>
    <w:rsid w:val="05E03BBF"/>
    <w:rsid w:val="05E753DD"/>
    <w:rsid w:val="082C5A7F"/>
    <w:rsid w:val="08686774"/>
    <w:rsid w:val="092C0A3C"/>
    <w:rsid w:val="0988744C"/>
    <w:rsid w:val="09D41DD9"/>
    <w:rsid w:val="0A695BC5"/>
    <w:rsid w:val="0AB34CBE"/>
    <w:rsid w:val="0C3F2F4C"/>
    <w:rsid w:val="0D6F4E26"/>
    <w:rsid w:val="0E3264AF"/>
    <w:rsid w:val="0ECC5F78"/>
    <w:rsid w:val="0F040909"/>
    <w:rsid w:val="10863CAA"/>
    <w:rsid w:val="115E4511"/>
    <w:rsid w:val="11AF21AD"/>
    <w:rsid w:val="12DA3AA1"/>
    <w:rsid w:val="144F1825"/>
    <w:rsid w:val="14737E46"/>
    <w:rsid w:val="17073A2C"/>
    <w:rsid w:val="17605235"/>
    <w:rsid w:val="18A6091E"/>
    <w:rsid w:val="18C1102B"/>
    <w:rsid w:val="18F664BC"/>
    <w:rsid w:val="19EB6921"/>
    <w:rsid w:val="1B3D6764"/>
    <w:rsid w:val="1B655572"/>
    <w:rsid w:val="1DA24774"/>
    <w:rsid w:val="1E42335E"/>
    <w:rsid w:val="1F0D587D"/>
    <w:rsid w:val="1FD10614"/>
    <w:rsid w:val="21F51856"/>
    <w:rsid w:val="22E563F4"/>
    <w:rsid w:val="22F523AF"/>
    <w:rsid w:val="2395753E"/>
    <w:rsid w:val="23FD2E4D"/>
    <w:rsid w:val="260A6364"/>
    <w:rsid w:val="266179B4"/>
    <w:rsid w:val="267A26C4"/>
    <w:rsid w:val="28FB66D6"/>
    <w:rsid w:val="2AB351A6"/>
    <w:rsid w:val="2B085A50"/>
    <w:rsid w:val="2B993B48"/>
    <w:rsid w:val="2CA503E7"/>
    <w:rsid w:val="2DC94D00"/>
    <w:rsid w:val="2E453753"/>
    <w:rsid w:val="2E513520"/>
    <w:rsid w:val="2F29726D"/>
    <w:rsid w:val="2F9373F8"/>
    <w:rsid w:val="2FE93C2C"/>
    <w:rsid w:val="30686828"/>
    <w:rsid w:val="309E2A8D"/>
    <w:rsid w:val="311E5E43"/>
    <w:rsid w:val="313B3928"/>
    <w:rsid w:val="33717F65"/>
    <w:rsid w:val="339F32C4"/>
    <w:rsid w:val="33DA155D"/>
    <w:rsid w:val="34022063"/>
    <w:rsid w:val="3464613F"/>
    <w:rsid w:val="35DB3034"/>
    <w:rsid w:val="36C91B6D"/>
    <w:rsid w:val="36F845E3"/>
    <w:rsid w:val="370452EA"/>
    <w:rsid w:val="37C25BA0"/>
    <w:rsid w:val="393A401D"/>
    <w:rsid w:val="39C615F1"/>
    <w:rsid w:val="3B402E7F"/>
    <w:rsid w:val="3CD86240"/>
    <w:rsid w:val="3D6B4FFB"/>
    <w:rsid w:val="3D997E8C"/>
    <w:rsid w:val="3DDC3AFA"/>
    <w:rsid w:val="3E6E73FF"/>
    <w:rsid w:val="3E842C9D"/>
    <w:rsid w:val="3FE1271D"/>
    <w:rsid w:val="3FE6622A"/>
    <w:rsid w:val="41064362"/>
    <w:rsid w:val="427607C5"/>
    <w:rsid w:val="44B109F3"/>
    <w:rsid w:val="45F70548"/>
    <w:rsid w:val="48357685"/>
    <w:rsid w:val="4ADE3D60"/>
    <w:rsid w:val="4B750656"/>
    <w:rsid w:val="4D752455"/>
    <w:rsid w:val="4F020438"/>
    <w:rsid w:val="50215196"/>
    <w:rsid w:val="504049D3"/>
    <w:rsid w:val="50621C86"/>
    <w:rsid w:val="51D64B59"/>
    <w:rsid w:val="51FC418E"/>
    <w:rsid w:val="521375D4"/>
    <w:rsid w:val="524C7798"/>
    <w:rsid w:val="52FB2402"/>
    <w:rsid w:val="54863158"/>
    <w:rsid w:val="55111DFD"/>
    <w:rsid w:val="590120DB"/>
    <w:rsid w:val="5901734E"/>
    <w:rsid w:val="5A5E4E34"/>
    <w:rsid w:val="5ACB3D0A"/>
    <w:rsid w:val="5ACF2AB3"/>
    <w:rsid w:val="5AEF1A86"/>
    <w:rsid w:val="5B4D6A05"/>
    <w:rsid w:val="5B5C5FD3"/>
    <w:rsid w:val="5CAB52DE"/>
    <w:rsid w:val="5E0E4C6A"/>
    <w:rsid w:val="5E9E3E06"/>
    <w:rsid w:val="5F4B6F18"/>
    <w:rsid w:val="60DF32CD"/>
    <w:rsid w:val="613D34FA"/>
    <w:rsid w:val="61FA21F5"/>
    <w:rsid w:val="64AE6E57"/>
    <w:rsid w:val="64F514E4"/>
    <w:rsid w:val="65BB42D8"/>
    <w:rsid w:val="65CA481F"/>
    <w:rsid w:val="66123F1F"/>
    <w:rsid w:val="66187482"/>
    <w:rsid w:val="66B405B1"/>
    <w:rsid w:val="66CD141B"/>
    <w:rsid w:val="66F1683C"/>
    <w:rsid w:val="67375865"/>
    <w:rsid w:val="68CF4376"/>
    <w:rsid w:val="6AF367C8"/>
    <w:rsid w:val="6B4C52BD"/>
    <w:rsid w:val="6B540A92"/>
    <w:rsid w:val="6B9907C1"/>
    <w:rsid w:val="6D163819"/>
    <w:rsid w:val="6D2A46EE"/>
    <w:rsid w:val="6E305281"/>
    <w:rsid w:val="6E3F34B9"/>
    <w:rsid w:val="6E7F3548"/>
    <w:rsid w:val="6F24508A"/>
    <w:rsid w:val="7235160D"/>
    <w:rsid w:val="72CC4DF3"/>
    <w:rsid w:val="73D3286D"/>
    <w:rsid w:val="743E456A"/>
    <w:rsid w:val="750C0C92"/>
    <w:rsid w:val="763273F7"/>
    <w:rsid w:val="765E6CB6"/>
    <w:rsid w:val="76DC3972"/>
    <w:rsid w:val="77786239"/>
    <w:rsid w:val="778C20CE"/>
    <w:rsid w:val="78626E29"/>
    <w:rsid w:val="7A375DA3"/>
    <w:rsid w:val="7A79291F"/>
    <w:rsid w:val="7A943584"/>
    <w:rsid w:val="7E4B0D29"/>
    <w:rsid w:val="7F8E18B6"/>
    <w:rsid w:val="7FC1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5"/>
    <w:qFormat/>
    <w:uiPriority w:val="0"/>
    <w:rPr>
      <w:rFonts w:ascii="MT Extra" w:hAnsi="MT Extra"/>
      <w:kern w:val="2"/>
      <w:sz w:val="18"/>
      <w:szCs w:val="18"/>
    </w:rPr>
  </w:style>
  <w:style w:type="character" w:customStyle="1" w:styleId="11">
    <w:name w:val="fontstyle01"/>
    <w:basedOn w:val="9"/>
    <w:qFormat/>
    <w:uiPriority w:val="0"/>
    <w:rPr>
      <w:rFonts w:hint="eastAsia" w:ascii="宋体" w:hAnsi="宋体" w:eastAsia="宋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6860</Words>
  <Characters>7516</Characters>
  <Lines>14</Lines>
  <Paragraphs>4</Paragraphs>
  <TotalTime>11</TotalTime>
  <ScaleCrop>false</ScaleCrop>
  <LinksUpToDate>false</LinksUpToDate>
  <CharactersWithSpaces>7691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2021-04-25T08:24:00Z</dcterms:created>
  <dc:creator>User</dc:creator>
  <cp:lastModifiedBy>安</cp:lastModifiedBy>
  <cp:lastPrinted>2023-02-23T09:44:00Z</cp:lastPrinted>
  <dcterms:modified xsi:type="dcterms:W3CDTF">2023-05-10T01:21:03Z</dcterms:modified>
  <dc:title>销售合同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A3101869B31C4497B2DD4D96ABBE2728_13</vt:lpwstr>
  </property>
</Properties>
</file>