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2019年第1期目录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计算机研究</w:t>
      </w:r>
    </w:p>
    <w:p>
      <w:pPr>
        <w:keepNext w:val="0"/>
        <w:keepLines w:val="0"/>
        <w:pageBreakBefore w:val="0"/>
        <w:widowControl/>
        <w:tabs>
          <w:tab w:val="right" w:leader="dot" w:pos="92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基于改进的朴素贝叶斯算法对</w:t>
      </w:r>
      <w:r>
        <w:rPr>
          <w:rFonts w:hint="eastAsia" w:ascii="宋体" w:hAnsi="宋体" w:eastAsia="宋体" w:cs="宋体"/>
          <w:spacing w:val="2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Android钓鱼网站的检测</w:t>
      </w:r>
      <w:r>
        <w:rPr>
          <w:rFonts w:hint="eastAsia" w:ascii="宋体" w:hAnsi="宋体" w:eastAsia="宋体" w:cs="宋体"/>
          <w:spacing w:val="7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2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1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2"/>
          <w:sz w:val="22"/>
          <w:szCs w:val="22"/>
        </w:rPr>
        <w:t>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46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基于嵌入式软件的综合信息处理平台集成方法探讨</w:t>
      </w:r>
      <w:r>
        <w:rPr>
          <w:rFonts w:hint="eastAsia" w:ascii="宋体" w:hAnsi="宋体" w:eastAsia="宋体" w:cs="宋体"/>
          <w:b w:val="0"/>
          <w:bCs w:val="0"/>
          <w:spacing w:val="7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46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面向体元结构的三维地质模型剖切算法研究</w:t>
      </w:r>
      <w:r>
        <w:rPr>
          <w:rFonts w:hint="eastAsia" w:ascii="宋体" w:hAnsi="宋体" w:eastAsia="宋体" w:cs="宋体"/>
          <w:spacing w:val="-3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曹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丽，于雪润，陈国旭，邓力珲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</w:p>
    <w:p>
      <w:pPr>
        <w:keepNext w:val="0"/>
        <w:keepLines w:val="0"/>
        <w:pageBreakBefore w:val="0"/>
        <w:widowControl/>
        <w:tabs>
          <w:tab w:val="right" w:leader="dot" w:pos="92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3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园区电力数据可视分析系统</w:t>
      </w:r>
      <w:r>
        <w:rPr>
          <w:rFonts w:hint="eastAsia" w:ascii="宋体" w:hAnsi="宋体" w:eastAsia="宋体" w:cs="宋体"/>
          <w:spacing w:val="9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路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强，程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鑫，王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萍，徐伟刚，罗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珣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基于隐生灭过程模型的充电桩故障诊断研究</w:t>
      </w:r>
      <w:r>
        <w:rPr>
          <w:rFonts w:hint="eastAsia" w:ascii="宋体" w:hAnsi="宋体" w:eastAsia="宋体" w:cs="宋体"/>
          <w:spacing w:val="-2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林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越，刘廷章，潘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建，曾福庚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26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工商管理研究</w:t>
      </w:r>
    </w:p>
    <w:p>
      <w:pPr>
        <w:keepNext w:val="0"/>
        <w:keepLines w:val="0"/>
        <w:pageBreakBefore w:val="0"/>
        <w:widowControl/>
        <w:tabs>
          <w:tab w:val="right" w:leader="dot" w:pos="92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浅析上市公司股权激励机制</w:t>
      </w:r>
      <w:r>
        <w:rPr>
          <w:rFonts w:hint="eastAsia" w:ascii="宋体" w:hAnsi="宋体" w:eastAsia="宋体" w:cs="宋体"/>
          <w:spacing w:val="-3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  <w:bdr w:val="single" w:sz="4" w:space="0"/>
        </w:rPr>
        <w:t>王德礼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ZQ</w:t>
      </w:r>
      <w:r>
        <w:rPr>
          <w:rFonts w:hint="eastAsia" w:ascii="宋体" w:hAnsi="宋体" w:eastAsia="宋体" w:cs="宋体"/>
          <w:spacing w:val="1"/>
          <w:sz w:val="22"/>
          <w:szCs w:val="22"/>
        </w:rPr>
        <w:t>公司财务报表分析及相关建议</w:t>
      </w:r>
      <w:r>
        <w:rPr>
          <w:rFonts w:hint="eastAsia" w:ascii="宋体" w:hAnsi="宋体" w:eastAsia="宋体" w:cs="宋体"/>
          <w:spacing w:val="7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石惠惠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新零售企业</w:t>
      </w:r>
      <w:r>
        <w:rPr>
          <w:rFonts w:hint="eastAsia" w:ascii="宋体" w:hAnsi="宋体" w:eastAsia="宋体" w:cs="宋体"/>
          <w:spacing w:val="2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SJ公司成本控制问题探讨</w:t>
      </w:r>
      <w:r>
        <w:rPr>
          <w:rFonts w:hint="eastAsia" w:ascii="宋体" w:hAnsi="宋体" w:eastAsia="宋体" w:cs="宋体"/>
          <w:spacing w:val="-5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赵玉芳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《公司法》中股东会决议可撤销制度的立法分析</w:t>
      </w:r>
      <w:r>
        <w:rPr>
          <w:rFonts w:hint="eastAsia" w:ascii="宋体" w:hAnsi="宋体" w:eastAsia="宋体" w:cs="宋体"/>
          <w:spacing w:val="8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2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传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上市公司财务舞弊问题探讨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ind w:left="5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以SD公司为例</w:t>
      </w:r>
      <w:r>
        <w:rPr>
          <w:rFonts w:hint="eastAsia" w:ascii="宋体" w:hAnsi="宋体" w:eastAsia="宋体" w:cs="宋体"/>
          <w:spacing w:val="7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杜建菊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上市公司财务报表分析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ind w:left="5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以SY公司为例</w:t>
      </w:r>
      <w:r>
        <w:rPr>
          <w:rFonts w:hint="eastAsia" w:ascii="宋体" w:hAnsi="宋体" w:eastAsia="宋体" w:cs="宋体"/>
          <w:spacing w:val="7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刘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8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淮军文化研究</w:t>
      </w:r>
    </w:p>
    <w:p>
      <w:pPr>
        <w:keepNext w:val="0"/>
        <w:keepLines w:val="0"/>
        <w:pageBreakBefore w:val="0"/>
        <w:widowControl/>
        <w:tabs>
          <w:tab w:val="right" w:leader="dot" w:pos="93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刘铭传研究中两个重要问题辨析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马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刘铭传治军之道</w:t>
      </w:r>
      <w:r>
        <w:rPr>
          <w:rFonts w:hint="eastAsia" w:ascii="宋体" w:hAnsi="宋体" w:eastAsia="宋体" w:cs="宋体"/>
          <w:spacing w:val="8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吕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杰，王道云，田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邵作舟政治改革思想述论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汤奇学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62478EF"/>
    <w:rsid w:val="2B2E6CEE"/>
    <w:rsid w:val="30AA3544"/>
    <w:rsid w:val="30BA3228"/>
    <w:rsid w:val="526E7576"/>
    <w:rsid w:val="65024362"/>
    <w:rsid w:val="6DEF146A"/>
    <w:rsid w:val="6E2039C3"/>
    <w:rsid w:val="7984729A"/>
    <w:rsid w:val="7E091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2023-09-22T16:18:00Z</dcterms:created>
  <dc:creator>Kingsoft-PDF</dc:creator>
  <cp:lastModifiedBy>小露</cp:lastModifiedBy>
  <dcterms:modified xsi:type="dcterms:W3CDTF">2024-04-25T01:14:47Z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2023-09-22T16:18:32Z</vt:filetime>
  </property>
  <property fmtid="{D5CDD505-2E9C-101B-9397-08002B2CF9AE}" pid="4" name="UsrData">
    <vt:lpwstr>650d4dd4dfd7f5001f148d8cwl</vt:lpwstr>
  </property>
  <property fmtid="{D5CDD505-2E9C-101B-9397-08002B2CF9AE}" pid="5" name="KSOProductBuildVer">
    <vt:lpwstr>2052-12.1.0.16729</vt:lpwstr>
  </property>
  <property fmtid="{D5CDD505-2E9C-101B-9397-08002B2CF9AE}" pid="6" name="ICV">
    <vt:lpwstr>3237E10B75074606AEFA42DEDDC695DD_12</vt:lpwstr>
  </property>
</Properties>
</file>