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《安徽文达信息工程学院学报》</w:t>
      </w:r>
      <w:bookmarkEnd w:id="0"/>
      <w:r>
        <w:rPr>
          <w:rFonts w:hint="eastAsia" w:ascii="黑体" w:hAnsi="黑体" w:eastAsia="黑体" w:cs="黑体"/>
          <w:sz w:val="40"/>
          <w:szCs w:val="40"/>
          <w:lang w:val="en-US" w:eastAsia="zh-CN"/>
        </w:rPr>
        <w:t>2014年第1期目录</w:t>
      </w: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电子工程研究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双向零泄漏大口径电磁驱动阀门闭合工况静力学分析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曾谊晖，周育才，姚  实，马  辉，吴  刚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改进的谱特征和足底边缘距离的步态识别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范玉红，梁 栋，鲍文霞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基于线阵CCD的车辆参数识别系统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刘承胤，赵吉文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种改进的三顾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帧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差分运动目标检测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刘  红，周晓美,张  震</w:t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基于RT5350的嵌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入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式无线视频数据采集系统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袁新娣，李秋生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一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种基于PUF的低成本RFID认证协议分析与改进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孙  梅,张栋冰，张  娟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数学研究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二阶微分方程边值问题解的等价性及其格林函数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胡秀林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关于到期收益率的一个近似计算公式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官  飞,彭雅琦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</w:p>
    <w:p>
      <w:pPr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财经研究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基于投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入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产出效率分析的旅游目的地竞争力研究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张  洪,张  洁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推定课税制度与纳税人权利保护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方  涌</w:t>
      </w:r>
    </w:p>
    <w:p>
      <w:pPr>
        <w:jc w:val="left"/>
        <w:rPr>
          <w:rFonts w:hint="eastAsia" w:ascii="宋体" w:hAnsi="宋体" w:eastAsia="宋体" w:cs="宋体"/>
          <w:sz w:val="22"/>
          <w:szCs w:val="22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淮军研究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李鸿章的甲午镜鉴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翁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飞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淮军将领按察使衔徐州兵备道段喆家世考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华  芳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</w:p>
    <w:p>
      <w:pPr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外国语研究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应用型本科院校商务英语专业人才培养与课程建设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齐中华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大学英语自主学习的教学模式与教师角色转换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高冬雁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电影海报的多模态话语分析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周海燕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商务英语阅读水平提高策略探析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李  玲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商务英语专业课程改革刍议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王  琳，任婷婷</w:t>
      </w:r>
    </w:p>
    <w:p>
      <w:pPr>
        <w:jc w:val="left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合肥研究 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</w:t>
      </w:r>
      <w:r>
        <w:rPr>
          <w:rFonts w:hint="default" w:ascii="黑体" w:hAnsi="黑体" w:eastAsia="黑体" w:cs="黑体"/>
          <w:sz w:val="24"/>
          <w:szCs w:val="24"/>
          <w:lang w:val="en-US" w:eastAsia="zh-CN"/>
        </w:rPr>
        <w:t>思政教学研究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</w:p>
    <w:p>
      <w:pPr>
        <w:keepNext w:val="0"/>
        <w:keepLines w:val="0"/>
        <w:pageBreakBefore w:val="0"/>
        <w:widowControl w:val="0"/>
        <w:tabs>
          <w:tab w:val="right" w:leader="dot" w:pos="9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清代合肥城区道路交通系统述论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康  辉,丁增云</w:t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br w:type="textWrapping"/>
      </w:r>
      <w:r>
        <w:rPr>
          <w:rFonts w:hint="default" w:ascii="宋体" w:hAnsi="宋体" w:eastAsia="宋体" w:cs="宋体"/>
          <w:sz w:val="22"/>
          <w:szCs w:val="22"/>
          <w:lang w:val="en-US" w:eastAsia="zh-CN"/>
        </w:rPr>
        <w:t>提升民办本科高校思想政治理论课建设的思考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ab/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黄礼华</w:t>
      </w:r>
    </w:p>
    <w:sectPr>
      <w:pgSz w:w="11906" w:h="16838"/>
      <w:pgMar w:top="1587" w:right="1134" w:bottom="158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lYmIzZmM1MGYxNTk4OTUwMmFmOTEwOTVjNmQ2ZTgifQ=="/>
  </w:docVars>
  <w:rsids>
    <w:rsidRoot w:val="00000000"/>
    <w:rsid w:val="03E10BA9"/>
    <w:rsid w:val="1A0256C7"/>
    <w:rsid w:val="226C110E"/>
    <w:rsid w:val="29CE3CF8"/>
    <w:rsid w:val="2F9F41AD"/>
    <w:rsid w:val="36977DB1"/>
    <w:rsid w:val="665608B0"/>
    <w:rsid w:val="673D0F17"/>
    <w:rsid w:val="7F10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wendakjc</dc:creator>
  <cp:lastModifiedBy>小露</cp:lastModifiedBy>
  <dcterms:modified xsi:type="dcterms:W3CDTF">2024-04-24T03:24:50Z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018E5950DC7D421FBC26630AA6D00A90_12</vt:lpwstr>
  </property>
</Properties>
</file>