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教育部关于全面提高高等教育质量的若干意见（简称“高教质量30条”）</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教高〔2012〕4号</w:t>
      </w:r>
    </w:p>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各省、自治区、直辖市教育厅（教委），新疆生产建设兵团教育局，有关部门（单位）教育司（局），部属各高等学校：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为深入贯彻落实胡锦涛总书记在庆祝清华大学建校100周年大会上的重要讲话精神和《国家中长期教育改革和发展</w:t>
      </w:r>
      <w:bookmarkStart w:id="0" w:name="_GoBack"/>
      <w:bookmarkEnd w:id="0"/>
      <w:r>
        <w:rPr>
          <w:rFonts w:hint="eastAsia" w:ascii="仿宋" w:hAnsi="仿宋" w:eastAsia="仿宋" w:cs="仿宋"/>
          <w:i w:val="0"/>
          <w:iCs w:val="0"/>
          <w:caps w:val="0"/>
          <w:color w:val="000000"/>
          <w:spacing w:val="0"/>
          <w:sz w:val="32"/>
          <w:szCs w:val="32"/>
          <w:shd w:val="clear" w:fill="FFFFFF"/>
        </w:rPr>
        <w:t>规划纲要（2010-2020年）》，大力提升人才培养水平、增强科学研究能力、服务经济社会发展、推进文化传承创新，全面提高高等教育质量，现提出如下意见。</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坚持内涵式发展。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十二五”改革和发展规划。</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促进高校办出特色。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办高校。实施中西部高等教育振兴计划，推进东部高校对口支援西部高校计划。完善中央部属高校和重点建设高校战略布局。</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完善人才培养质量标准体系。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专专业类教学质量国家标准，制订一级学科博士、硕士学位和专业学位基本要求。鼓励行业部门依据国家标准制订相关专业人才培养评价标准。高校根据实际制订科学的人才培养方案。</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四）优化学科专业和人才培养结构。修订学科专业目录及设置管理办法，建立动态调整机制，优化学科专业结构。落实和扩大高校学科专业设置自主权，按照学科专业设置管理规定，除国家控制布点专业外，本科和高职高专专业自主设置，研究生二级学科自主设置，在有条件的学位授予单位试行自行增列博士、硕士一级学科学位授权点。开展本科和高职高专专业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五）创新人才培养模式。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鼓励因校制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六）巩固本科教学基础地位。把本科教学作为高校最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本科教学工程”体系，发挥建设项目在推进教学改革、加强教学建设、提高教学质量上的引领、示范、辐射作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七）改革研究生培养机制。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八）强化实践育人环节。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新增生均拨款优先投入实践育人工作，新增教学经费优先用于实践教学。推动建立党政机关、城市社区、农村乡镇、企事业单位、社会服务机构等接收高校学生实践制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九）加强创新创业教育和就业指导服务。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加强和改进思想政治教育。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一）健全教育质量评估制度。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2000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5年对博士、硕士学位授权点评估一次。加大博士学位论文抽检范围和力度，每年抽查比例不低于5%。建立健全教学合格评估与认证相结合的专业学位研究生教育质量保障制度。建设学位与研究生教育质量监控信息化平台。</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二）推进协同创新。启动实施高等学校创新能力提升计划。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校协同、校所协同、校企（行业）协同、校地（区域）协同、国际合作协同等开放、集成、高效的新模式，形成以任务为牵引的人事聘用管理制度、寓教于研的人才培养模式、以质量与贡献为依据的考评机制、以学科交叉融合为导向的资源配置方式等协同创新机制，产出一批重大标志性成果，培养一批拔尖创新人才，在国家创新体系建设中发挥重要作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三）提升高校科技创新能力。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四）繁荣发展高校哲学社会科学。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高校智库建设。重点建设一批社会科学专题数据库和优秀学术网站。实施高校哲学社会科学“走出去”计划，推进优秀成果和优秀人才走向世界，增强国际学术话语权和影响力。</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五）改革高校科研管理机制。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为导向的评价激励机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六）增强高校社会服务能力。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七）加快发展继续教育。推动建立继续教育国家制度，搭建终身学习“立交桥”。健全宽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八）推进文化传承创新。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汇校项目，建设一批国际知名的外文学术期刊、国际性研究数据库和外文学术网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九）改革考试招生制度。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完善直博生和硕博连读等长学制选拔培养制度。建立健全博士生分流淘汰与名额补偿机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完善研究生资助体系。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一）完善中国特色现代大学制度。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二）推进试点学院改革。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三）建设优质教育资源共享体系。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业教育共享型专业教学资源库建设，与行业企业联合建设专业教学资源库。</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四）加强省级政府统筹。加大省级统筹力度，根据国家标准，结合各地实际，合理确定各类高等教育办学定位、办学条件、教师编制、生均财政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十二五”高等教育改革和发展规划。加大对地方高校的政策倾斜力度，根据区域经济社会发展需要，重点支持一批有特色高水平地方高校。推进国家示范性高等职业院校建设计划，重点建设一批特色高职学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五）提升国际交流与合作水平。支持中外高校间学生互换、学分互认、学位互授联授。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六）加强师德师风建设。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七）提高教师业务水平和教学能力。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加强高层次人才队伍建设。选择一批高校探索建立人才发展改革试验区。实施教师教育创新平台项目。建立教授、副教授学术休假制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八）完善教师分类管理。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加强高职学校专业教师双师素质和双师结构专业教学团队建设，鼓励和支持兼职教师申请教学系列专业技术职务。依法落实民办高校教师与公办高校教师平等法律地位。</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十九）加强高校基础条件建设。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三十）加强高校经费保障。完善高校生均财政定额拨款制度，建立动态调整机制，依法保证生均财政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 </w:t>
      </w:r>
    </w:p>
    <w:p>
      <w:pPr>
        <w:keepNext w:val="0"/>
        <w:keepLines w:val="0"/>
        <w:pageBreakBefore w:val="0"/>
        <w:widowControl/>
        <w:kinsoku/>
        <w:wordWrap/>
        <w:overflowPunct/>
        <w:topLinePunct w:val="0"/>
        <w:autoSpaceDE/>
        <w:autoSpaceDN/>
        <w:bidi w:val="0"/>
        <w:adjustRightInd/>
        <w:snapToGrid/>
        <w:ind w:left="0" w:leftChars="0" w:firstLine="4480" w:firstLineChars="1400"/>
        <w:jc w:val="center"/>
        <w:textAlignment w:val="auto"/>
        <w:rPr>
          <w:rFonts w:hint="eastAsia" w:ascii="仿宋" w:hAnsi="仿宋" w:eastAsia="仿宋" w:cs="仿宋"/>
          <w:i w:val="0"/>
          <w:iCs w:val="0"/>
          <w:caps w:val="0"/>
          <w:color w:val="000000"/>
          <w:spacing w:val="0"/>
          <w:sz w:val="32"/>
          <w:szCs w:val="32"/>
          <w:shd w:val="clear" w:fill="FFFFFF"/>
        </w:rPr>
      </w:pPr>
    </w:p>
    <w:p>
      <w:pPr>
        <w:keepNext w:val="0"/>
        <w:keepLines w:val="0"/>
        <w:pageBreakBefore w:val="0"/>
        <w:widowControl/>
        <w:kinsoku/>
        <w:wordWrap/>
        <w:overflowPunct/>
        <w:topLinePunct w:val="0"/>
        <w:autoSpaceDE/>
        <w:autoSpaceDN/>
        <w:bidi w:val="0"/>
        <w:adjustRightInd/>
        <w:snapToGrid/>
        <w:ind w:left="0" w:leftChars="0" w:firstLine="4480" w:firstLineChars="1400"/>
        <w:jc w:val="center"/>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中华人民共和国教育部</w:t>
      </w:r>
    </w:p>
    <w:p>
      <w:pPr>
        <w:keepNext w:val="0"/>
        <w:keepLines w:val="0"/>
        <w:pageBreakBefore w:val="0"/>
        <w:widowControl/>
        <w:kinsoku/>
        <w:wordWrap/>
        <w:overflowPunct/>
        <w:topLinePunct w:val="0"/>
        <w:autoSpaceDE/>
        <w:autoSpaceDN/>
        <w:bidi w:val="0"/>
        <w:adjustRightInd/>
        <w:snapToGrid/>
        <w:ind w:left="0" w:leftChars="0" w:firstLine="4480" w:firstLineChars="1400"/>
        <w:jc w:val="center"/>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二〇一二年三月十六日</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170">
      <wne:acd wne:acdName="acd0"/>
    </wne:keymap>
    <wne:keymap wne:kcmPrimary="0171">
      <wne:acd wne:acdName="acd1"/>
    </wne:keymap>
    <wne:keymap wne:kcmPrimary="0173">
      <wne:acd wne:acdName="acd2"/>
    </wne:keymap>
    <wne:keymap wne:kcmPrimary="0174">
      <wne:acd wne:acdName="acd3"/>
    </wne:keymap>
    <wne:keymap wne:kcmPrimary="0175">
      <wne:acd wne:acdName="acd4"/>
    </wne:keymap>
  </wne:keymap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Jk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jhjMzM0NTU1N2YzOWQwMWJhMWI4MjA4NjZlNWUifQ=="/>
  </w:docVars>
  <w:rsids>
    <w:rsidRoot w:val="00000000"/>
    <w:rsid w:val="01DB2BA7"/>
    <w:rsid w:val="0BF369BD"/>
    <w:rsid w:val="0C195395"/>
    <w:rsid w:val="0CA535B9"/>
    <w:rsid w:val="0FAF6742"/>
    <w:rsid w:val="13290B0A"/>
    <w:rsid w:val="19F745E3"/>
    <w:rsid w:val="22866D2D"/>
    <w:rsid w:val="27F118C6"/>
    <w:rsid w:val="28EB2B49"/>
    <w:rsid w:val="2ABD3B87"/>
    <w:rsid w:val="35F467E5"/>
    <w:rsid w:val="3B365BA1"/>
    <w:rsid w:val="4134048C"/>
    <w:rsid w:val="451C3BF0"/>
    <w:rsid w:val="48152089"/>
    <w:rsid w:val="580F4197"/>
    <w:rsid w:val="5C09215D"/>
    <w:rsid w:val="695B0FA9"/>
    <w:rsid w:val="6AEB16DA"/>
    <w:rsid w:val="7C25071F"/>
    <w:rsid w:val="7DA74FA1"/>
    <w:rsid w:val="7FAA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仿宋" w:cs="Arial"/>
      <w:color w:val="000000"/>
      <w:sz w:val="28"/>
      <w:lang w:val="en-US" w:eastAsia="zh-CN" w:bidi="ar-SA"/>
    </w:rPr>
  </w:style>
  <w:style w:type="paragraph" w:styleId="2">
    <w:name w:val="heading 1"/>
    <w:basedOn w:val="1"/>
    <w:autoRedefine/>
    <w:qFormat/>
    <w:uiPriority w:val="0"/>
    <w:pPr>
      <w:spacing w:before="100" w:beforeAutospacing="1" w:after="100" w:afterAutospacing="1"/>
      <w:jc w:val="center"/>
      <w:outlineLvl w:val="0"/>
    </w:pPr>
    <w:rPr>
      <w:rFonts w:hint="eastAsia" w:ascii="宋体" w:hAnsi="宋体" w:eastAsia="方正小标宋简体" w:cs="宋体"/>
      <w:bCs/>
      <w:kern w:val="2"/>
      <w:sz w:val="44"/>
      <w:szCs w:val="48"/>
      <w:lang w:bidi="ar"/>
    </w:rPr>
  </w:style>
  <w:style w:type="paragraph" w:styleId="3">
    <w:name w:val="heading 2"/>
    <w:basedOn w:val="1"/>
    <w:next w:val="1"/>
    <w:link w:val="12"/>
    <w:autoRedefine/>
    <w:semiHidden/>
    <w:unhideWhenUsed/>
    <w:qFormat/>
    <w:uiPriority w:val="0"/>
    <w:pPr>
      <w:keepNext/>
      <w:keepLines/>
      <w:spacing w:before="50" w:beforeLines="50" w:beforeAutospacing="0" w:after="50" w:afterLines="50" w:afterAutospacing="0" w:line="440" w:lineRule="exact"/>
      <w:ind w:leftChars="200"/>
      <w:jc w:val="both"/>
      <w:outlineLvl w:val="1"/>
    </w:pPr>
    <w:rPr>
      <w:rFonts w:ascii="Arial" w:hAnsi="Arial" w:eastAsia="黑体"/>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Arial" w:hAnsi="Arial" w:eastAsia="楷体"/>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alloon Text"/>
    <w:basedOn w:val="1"/>
    <w:link w:val="11"/>
    <w:autoRedefine/>
    <w:qFormat/>
    <w:uiPriority w:val="0"/>
    <w:rPr>
      <w:rFonts w:eastAsia="楷体"/>
      <w:sz w:val="24"/>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autoRedefine/>
    <w:qFormat/>
    <w:uiPriority w:val="0"/>
    <w:rPr>
      <w:color w:val="0000FF"/>
      <w:u w:val="single"/>
    </w:rPr>
  </w:style>
  <w:style w:type="character" w:customStyle="1" w:styleId="11">
    <w:name w:val="批注框文本 Char"/>
    <w:basedOn w:val="9"/>
    <w:link w:val="5"/>
    <w:autoRedefine/>
    <w:qFormat/>
    <w:uiPriority w:val="0"/>
    <w:rPr>
      <w:rFonts w:ascii="Arial" w:hAnsi="Arial" w:eastAsia="楷体" w:cs="Arial"/>
      <w:color w:val="000000"/>
      <w:sz w:val="24"/>
      <w:szCs w:val="18"/>
    </w:rPr>
  </w:style>
  <w:style w:type="character" w:customStyle="1" w:styleId="12">
    <w:name w:val="标题 2 Char"/>
    <w:link w:val="3"/>
    <w:autoRedefine/>
    <w:qFormat/>
    <w:uiPriority w:val="0"/>
    <w:rPr>
      <w:rFonts w:ascii="Arial" w:hAnsi="Arial" w:eastAsia="黑体"/>
      <w:sz w:val="24"/>
    </w:rPr>
  </w:style>
  <w:style w:type="paragraph" w:customStyle="1" w:styleId="13">
    <w:name w:val="一级公文标题"/>
    <w:basedOn w:val="1"/>
    <w:autoRedefine/>
    <w:qFormat/>
    <w:uiPriority w:val="0"/>
    <w:pPr>
      <w:widowControl/>
      <w:pBdr>
        <w:top w:val="none" w:color="auto" w:sz="0" w:space="0"/>
        <w:left w:val="none" w:color="auto" w:sz="0" w:space="0"/>
        <w:bottom w:val="none" w:color="auto" w:sz="0" w:space="0"/>
        <w:right w:val="none" w:color="auto" w:sz="0" w:space="0"/>
      </w:pBdr>
      <w:spacing w:before="150" w:after="150" w:line="570" w:lineRule="atLeast"/>
      <w:ind w:firstLine="0" w:firstLineChars="0"/>
      <w:jc w:val="center"/>
    </w:pPr>
    <w:rPr>
      <w:rFonts w:ascii="黑体" w:hAnsi="黑体" w:eastAsia="黑体" w:cs="黑体"/>
      <w:color w:val="000000"/>
      <w:kern w:val="0"/>
      <w:sz w:val="32"/>
      <w:szCs w:val="32"/>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81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2023-11-14T01:30:00Z</dcterms:created>
  <dc:creator>DONGGE</dc:creator>
  <cp:lastModifiedBy>陈艳</cp:lastModifiedBy>
  <dcterms:modified xsi:type="dcterms:W3CDTF">2024-05-22T07:55:18Z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51A0CE32A90F4B1A82A8D7021095A12C_12</vt:lpwstr>
  </property>
</Properties>
</file>