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9"/>
        <w:gridCol w:w="1500"/>
        <w:gridCol w:w="1450"/>
        <w:gridCol w:w="1517"/>
        <w:gridCol w:w="2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87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安徽文达信息工程学院临时动火作业申请表</w:t>
            </w:r>
            <w:r>
              <w:rPr>
                <w:rStyle w:val="4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lang w:val="en-US" w:eastAsia="zh-CN" w:bidi="ar"/>
              </w:rPr>
              <w:t>申请表编号:                                  申请时间：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申请单位</w:t>
            </w: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动火位置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动火操作人</w:t>
            </w: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焊工证编号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动火时间</w:t>
            </w:r>
          </w:p>
        </w:tc>
        <w:tc>
          <w:tcPr>
            <w:tcW w:w="2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监护人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 w:hRule="atLeast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申请动火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主要事由</w:t>
            </w:r>
          </w:p>
        </w:tc>
        <w:tc>
          <w:tcPr>
            <w:tcW w:w="73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采取安全措施</w:t>
            </w:r>
          </w:p>
        </w:tc>
        <w:tc>
          <w:tcPr>
            <w:tcW w:w="73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清理现场可燃物，配置灭火器两具，水一桶，现场专人监护，严格按照动火“十不准”、“六必须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”规定作业。动火作业完成后，应等动火作业部位冷却、没有任何火情隐患一个小时后、关掉电焊机电源和移动电箱的开关后方可离开。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动火申请单位意见</w:t>
            </w:r>
          </w:p>
        </w:tc>
        <w:tc>
          <w:tcPr>
            <w:tcW w:w="2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主管部门意见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安全管理处意见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7" w:hRule="atLeast"/>
        </w:trPr>
        <w:tc>
          <w:tcPr>
            <w:tcW w:w="29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2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签字：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备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</w:t>
            </w:r>
          </w:p>
        </w:tc>
        <w:tc>
          <w:tcPr>
            <w:tcW w:w="73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1、申请时，特种作业需提交操作人有效特种作业证复印件，非特种作业需提交操作人身份证复印件。                                                       2、动火操作人必须持证上岗，人证相符。                                   3、新、改、扩建工程必须经消防部门审批后方准予办理动火使用许可证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F542C"/>
    <w:rsid w:val="0DE72B9F"/>
    <w:rsid w:val="352820FA"/>
    <w:rsid w:val="441C127F"/>
    <w:rsid w:val="46EF542C"/>
    <w:rsid w:val="49BF49D5"/>
    <w:rsid w:val="6CDF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2026-07-03T02:59:00Z</dcterms:created>
  <dc:creator>胡雅楠</dc:creator>
  <cp:lastModifiedBy>胡雅楠</cp:lastModifiedBy>
  <dcterms:modified xsi:type="dcterms:W3CDTF">2026-07-17T06:46:47Z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