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</w:pPr>
      <w:bookmarkStart w:id="0" w:name="OLE_LINK2"/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2025年学校美育年度发展报</w:t>
      </w:r>
      <w:bookmarkStart w:id="1" w:name="OLE_LINK1"/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告</w:t>
      </w:r>
      <w:bookmarkStart w:id="2" w:name="_GoBack"/>
      <w:bookmarkEnd w:id="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0" w:leftChars="0"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0" w:leftChars="0"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一、基本发展概述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0" w:leftChars="0" w:firstLine="640" w:firstLineChars="200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（一）概况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0" w:leftChars="0" w:firstLine="640" w:firstLineChars="200"/>
        <w:textAlignment w:val="auto"/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  <w:t>2025年，我校锚定“以美育人、以美化人”的核心目标与实施路径，深入贯彻落实《教育部关于全面实施学校美育浸润行动的通知》精神与要求，以“课程优化、实践拓展、学科协同”三位一体的举措为抓手，推动美育工作从“形式化”向“浸润式”转变，切实实现以美育人、以文化人的深层育人价值。立足“五育融合”的育人理念，学校组建跨学科美育工作专班，统筹协调美育课程开发、活动组织与资源整合等事宜，为“课程优化、实践拓展、学科协同”三位一体举措的全面铺开提供了组织保障与资源支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0" w:leftChars="0" w:firstLine="640" w:firstLineChars="200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（二）基础数据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0" w:leftChars="0" w:firstLine="640" w:firstLineChars="200"/>
        <w:textAlignment w:val="auto"/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  <w:t>1.本校2025年公共艺术领域配备专职教师42人、兼职教师6人；2.美育专项工作经费18万元；3.校级艺术展演活动开展6次；4.教师及领导干部美育相关培训活动举办2次；5.目前开设的艺术类专业共9个，包括表演、舞蹈表演、动画、广播电视编导、新媒体艺术、播音与主持艺术、视觉传达设计、环境设计、产品设计。</w:t>
      </w:r>
    </w:p>
    <w:bookmarkEnd w:id="1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0" w:leftChars="0"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二、经验做法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0" w:leftChars="0" w:firstLine="640" w:firstLineChars="200"/>
        <w:textAlignment w:val="auto"/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  <w:t>以美育教育研究中心为工作核心，联动校团委、教务处及二级学院，形成“课程教学+社团活动+校园文化+艺术展演”的立体化美育格局。全年覆盖师生超5000人次，实现美育资源跨部门、跨领域整合，推动“全员美育、全程美育、全方位美育”落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0" w:leftChars="0" w:firstLine="640" w:firstLineChars="200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（一）打造特色美育课程矩阵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0" w:leftChars="0" w:firstLine="640" w:firstLineChars="200"/>
        <w:textAlignment w:val="auto"/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  <w:t>在课程优化方面，我校将重构美育课程体系，强化艺术类基础课程，开发跨学科融合课程，充分发挥课堂教学的主渠道作用，推动美育真正融入学科教学与人才培养全过程。在实践拓展方面，学校将打造多层次、开放式美育实践活动平台，广泛开展艺术展演、美术创作、戏剧体验、非遗传承等社团活动与社会实践，让学生在真实情境中感受美、体验美、创造美。在学科协同方面，积极推进美育与德育、智育、体育、劳动教育的深度融合，构建“五育并举、融合育人”的大美育格局，实现美育与全面人才培养体系的有机衔接。通过这些举措，我校致力于推动美育工作从“形式化”向“浸润式”转变，让学生在潜移默化中提升审美素养和人文底蕴，切实实现以美育人、以文化人的深层育人价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0" w:leftChars="0" w:firstLine="640" w:firstLineChars="200"/>
        <w:textAlignment w:val="auto"/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0" w:leftChars="0" w:firstLine="640" w:firstLineChars="200"/>
        <w:textAlignment w:val="auto"/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cs="Times New Roman Regular"/>
          <w:sz w:val="32"/>
          <w:szCs w:val="32"/>
          <w:lang w:val="en-US" w:eastAsia="zh-CN"/>
        </w:rPr>
        <w:t>1.</w:t>
      </w:r>
      <w:r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  <w:t>艺术俱乐部课程：开设竹笛、非遗剪纸、书法等14门实践课程，采用“需求导向+分类施教”模式，实现“理论浸润+技能实践”双提升。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0" w:leftChars="0" w:firstLine="640" w:firstLineChars="200"/>
        <w:textAlignment w:val="auto"/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  <w:t>2.非遗与地域文化课程：引入黄梅戏、徽州木雕等非遗课程项目，并结合“徽风皖韵进高校”专场演出，引导学生沉浸式感受传统文化的独特魅力，厚植文化自信。邀请国家级、省级非遗传承人走进课堂担任客座讲师，系统讲解黄梅戏的历史渊源、唱腔流派及徽州木雕的技法精髓与文化寓意。此外，组织学生参与“徽风皖韵进高校”演出的幕后筹备，使沉浸式体验延伸至台前幕后。课程还设置非遗文化调研任务，引导学生走访徽州古村落，采集民间故事与传统工艺素材，形成调研报告或创意设计方案，进一步深化对地域文化的认知与情感联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0" w:leftChars="0" w:firstLine="640" w:firstLineChars="200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（二）创新美育实践载体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0" w:leftChars="0" w:firstLine="640" w:firstLineChars="200"/>
        <w:textAlignment w:val="auto"/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  <w:t>1.思政美育融合活动：举办“话剧团课”“青春大使”评选，通过《红梅赞》《渡江》等红色主题节目，将价值引领融入艺术熏陶，全年开展活动百余场。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0" w:leftChars="0" w:firstLine="640" w:firstLineChars="200"/>
        <w:textAlignment w:val="auto"/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  <w:t>2.学科竞赛与展演：学生在省级以上竞赛中获奖100余项，以赛促学锤炼专业素养。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0" w:leftChars="0" w:firstLine="640" w:firstLineChars="200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（三）完善美育评价与激励机制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0" w:afterAutospacing="0"/>
        <w:ind w:left="0" w:right="0" w:firstLine="640" w:firstLineChars="200"/>
        <w:rPr>
          <w:rFonts w:hint="eastAsia" w:ascii="Times New Roman Regular" w:hAnsi="Times New Roman Regular" w:eastAsia="方正仿宋_GBK" w:cs="Times New Roman Regular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 Regular" w:hAnsi="Times New Roman Regular" w:eastAsia="方正仿宋_GBK" w:cs="Times New Roman Regular"/>
          <w:kern w:val="2"/>
          <w:sz w:val="32"/>
          <w:szCs w:val="32"/>
          <w:lang w:val="en-US" w:eastAsia="zh-CN" w:bidi="ar-SA"/>
        </w:rPr>
        <w:t>建立“过程性评价+成果展示+社会反馈”三维评价体系，通过美育成果展、实践教学展演等平台，推动“崇尚美、追求美、创造美”的校园文化氛围形成。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0" w:leftChars="0"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三、实施成效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0" w:leftChars="0" w:firstLine="640" w:firstLineChars="200"/>
        <w:textAlignment w:val="auto"/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  <w:t>我校共开设美育类课程32门，致力于全面提升学生的综合素质和审美能力。其中美育理论课程吸引500余人次学生参与，课程门类涵盖人文、艺术鉴赏等多个领域，学校通过多样化的课程设置，积极推动美育教育的深入发展，为学生提供了丰富的学习体验和成长机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114300" distR="114300">
            <wp:extent cx="5423535" cy="3054985"/>
            <wp:effectExtent l="0" t="0" r="5715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23535" cy="305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textAlignment w:val="auto"/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b/>
          <w:bCs/>
          <w:lang w:val="en-US" w:eastAsia="zh-CN"/>
        </w:rPr>
        <w:t xml:space="preserve">  </w:t>
      </w:r>
      <w:r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  <w:t>图1 美育理论课程概况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0" w:leftChars="0" w:firstLine="640" w:firstLineChars="200"/>
        <w:textAlignment w:val="auto"/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  <w:t xml:space="preserve">艺术实践类课程及社团活动作为美育培养的重要载体，目前已累计覆盖学生2000余人次，形成了常态化、多样化的艺术学习氛围。在各类活动中，校园艺术节、非遗手作工作坊等品牌项目反响尤为热烈，学生参与率达到85%以上，体现出广泛的影响力和吸引力。同学们在剪纸、戏曲等非遗体验中深化了对传统文化的理解，也在现代艺术创作中展现出丰富的想象力。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0" w:leftChars="0" w:firstLine="640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  <w:t>此外，学生艺术作品在省市级各类比赛中表现突出，累计获奖60余项，涵盖绘画、设计、音乐、舞蹈等多个领域，充分显示出美育教育的扎实成效。随着艺术活动深入开展，校园美育氛围日益浓厚，更多学生主动参与审美实践，对美的感知能力、创造能力和表达能力得到显著提升，切实推动了全面发展教育目标的实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0" w:leftChars="0" w:firstLine="640" w:firstLineChars="200"/>
        <w:textAlignment w:val="auto"/>
        <w:rPr>
          <w:rFonts w:hint="eastAsia" w:ascii="宋体" w:hAnsi="宋体" w:eastAsia="宋体" w:cs="宋体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3200" w:hanging="3200" w:hangingChars="1000"/>
        <w:textAlignment w:val="auto"/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</w:rPr>
        <w:drawing>
          <wp:inline distT="0" distB="0" distL="114300" distR="114300">
            <wp:extent cx="5604510" cy="2702560"/>
            <wp:effectExtent l="0" t="0" r="5715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04510" cy="270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  <w:t>图2 美育实践课程概况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4480" w:hanging="4480" w:hangingChars="14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</w:rPr>
        <w:drawing>
          <wp:inline distT="0" distB="0" distL="114300" distR="114300">
            <wp:extent cx="4343400" cy="4483735"/>
            <wp:effectExtent l="0" t="0" r="0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448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3200" w:hanging="3200" w:hangingChars="1000"/>
        <w:jc w:val="center"/>
        <w:textAlignment w:val="auto"/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cs="Times New Roman Regular"/>
          <w:sz w:val="32"/>
          <w:szCs w:val="32"/>
          <w:lang w:val="en-US" w:eastAsia="zh-CN"/>
        </w:rPr>
        <w:t xml:space="preserve">   </w:t>
      </w:r>
      <w:r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  <w:t>图3 学生评价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0" w:leftChars="0"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四、存在问题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0" w:leftChars="0" w:firstLine="640" w:firstLineChars="200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（一）课程体系深度与专业融合不足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0" w:leftChars="0" w:firstLine="640" w:firstLineChars="200"/>
        <w:textAlignment w:val="auto"/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  <w:t>现有美育课程以艺术俱乐部（如竹笛、插花）和非遗体验为主，多聚焦基础技能实践，科技类专业与数字美育的结合、工科课程中的技术美学渗透等领域尚未形成系统化课程。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0" w:leftChars="0" w:firstLine="640" w:firstLineChars="200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（二）师资跨学科能力待提升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0" w:leftChars="0" w:firstLine="640" w:firstLineChars="200"/>
        <w:textAlignment w:val="auto"/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  <w:t>美育教师多来自艺术领域，具备科技、思政等跨学科背景的复合型师资较少，难以支撑“美育+AI”“美育+地域文化研究”等创新课程开发。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0" w:leftChars="0" w:firstLine="640" w:firstLineChars="200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（三）评价机制与长效激励待完善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0" w:leftChars="0" w:firstLine="640" w:firstLineChars="200"/>
        <w:textAlignment w:val="auto"/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  <w:t>当前评价以成果展示（如艺术展演）和竞赛获奖为主，对学生审美素养的过程性评价（如日常实践、文化认知）体系尚不健全。以上这些问题需通过深化课程改革、强化资源协同、完善评价体系等路径逐步解决，推动美育从“活动驱动”向“体系化育人”升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0" w:leftChars="0"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五、发展展望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0" w:leftChars="0"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  <w:t>基于当前美育工作的现存问题，结合学校“美育+”融合发展战略，未来将从课程体系、资源协同、评价机制、文化浸润、成果转化五大维度突破，构建具有“文达特色”的美育生态。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0" w:leftChars="0" w:firstLine="640" w:firstLineChars="200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（一）深化课程改革：打造“专业+美育”融合新范式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0" w:leftChars="0" w:firstLine="640" w:firstLineChars="200"/>
        <w:textAlignment w:val="auto"/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  <w:t>开设《AI艺术创作》《数字媒体美育》等课程，将技术美学融入编程、设计教学；面向工科专业推出《工程美学导论》，解析建筑、机械设计中的功能美与形式美，实现美育与专业教育的深度耦合。非遗与地域文化课程升级，学生通过3D建模、VR技术复原非遗技艺，形成“实践+研究”的课程闭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0" w:leftChars="0" w:firstLine="640" w:firstLineChars="200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（二）强化资源协同：构建“校地+校企”联动新生态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0" w:leftChars="0" w:firstLine="640" w:firstLineChars="200"/>
        <w:textAlignment w:val="auto"/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  <w:t>引进具备科技、思政背景的复合型美育教师，每年选派教师赴高校、文化机构进修，提升跨学科教学能力；组建“美育教学创新团队”，鼓励艺术、计算机教师联合开发课程，打破学科壁垒。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0" w:leftChars="0" w:firstLine="640" w:firstLineChars="200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（三）完善评价机制：建立“过程+成果”双轨新体系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0" w:leftChars="0" w:firstLine="640" w:firstLineChars="200"/>
        <w:textAlignment w:val="auto"/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  <w:t>将审美素养纳入综合素质评价，通过“课堂表现+实践作品+文化认知测试”三维评估，替代单一的竞赛获奖导向。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0" w:leftChars="0" w:firstLine="640" w:firstLineChars="200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（四）推动成果转化：拓展“研究+服务”社会新价值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0" w:leftChars="0" w:firstLine="640" w:firstLineChars="200"/>
        <w:textAlignment w:val="auto"/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  <w:t>依托美育教育研究中心，申报省级以上美育课题，聚焦“地域文化与高校美育”“AI美育应用”等方向，每年发表高质量论文不少于5篇。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0" w:leftChars="0" w:firstLine="640" w:firstLineChars="200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（五）社会服务延伸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0" w:leftChars="0" w:firstLine="640" w:firstLineChars="200"/>
        <w:textAlignment w:val="auto"/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  <w:t>组织学生开展“非遗文创设计”“乡村美育帮扶”等项目，将课程成果转化为服务地方文化传承的实践案例，提升学校美育的社会影响力。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0" w:leftChars="0"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  <w:t>通过以上举措，力争三年内建成美育课程有特色、资源有保障、评价有体系、文化有氛围的高水平美育体系，使美育成为学校人才培养的核心竞争力之一，为培养“德、智、体、美、劳”全面发展的时代新人提供坚实支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0" w:leftChars="0"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六、支撑材料清单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Chars="200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Chars="200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Chars="200"/>
        <w:jc w:val="center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  <w:t>1.部分获奖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114300" distR="114300">
            <wp:extent cx="5608955" cy="6950075"/>
            <wp:effectExtent l="0" t="0" r="10795" b="3175"/>
            <wp:docPr id="1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08955" cy="695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lang w:val="en-US" w:eastAsia="zh-CN"/>
        </w:rPr>
      </w:pP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114300" distR="114300">
            <wp:extent cx="5612130" cy="681355"/>
            <wp:effectExtent l="0" t="0" r="7620" b="4445"/>
            <wp:docPr id="1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68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3614" w:firstLineChars="1000"/>
        <w:rPr>
          <w:rFonts w:hint="eastAsia" w:ascii="宋体" w:hAnsi="宋体" w:eastAsia="宋体" w:cs="宋体"/>
          <w:b/>
          <w:bCs/>
          <w:sz w:val="36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28"/>
          <w:lang w:val="en-US" w:eastAsia="zh-CN"/>
        </w:rPr>
        <w:t>戏剧类 二等奖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114300" distR="114300">
            <wp:extent cx="6231255" cy="704215"/>
            <wp:effectExtent l="0" t="0" r="7620" b="635"/>
            <wp:docPr id="1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31255" cy="70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3614" w:firstLineChars="1000"/>
        <w:rPr>
          <w:rFonts w:hint="eastAsia" w:ascii="宋体" w:hAnsi="宋体" w:eastAsia="宋体" w:cs="宋体"/>
          <w:b/>
          <w:bCs/>
          <w:sz w:val="36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28"/>
          <w:lang w:val="en-US" w:eastAsia="zh-CN"/>
        </w:rPr>
        <w:t>戏剧类 三等奖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114300" distR="114300">
            <wp:extent cx="6193155" cy="3146425"/>
            <wp:effectExtent l="0" t="0" r="7620" b="6350"/>
            <wp:docPr id="1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93155" cy="314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3614" w:firstLineChars="10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sz w:val="36"/>
          <w:szCs w:val="28"/>
          <w:lang w:val="en-US" w:eastAsia="zh-CN"/>
        </w:rPr>
        <w:t>戏曲类 一等奖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114300" distR="114300">
            <wp:extent cx="6388100" cy="690880"/>
            <wp:effectExtent l="0" t="0" r="3175" b="4445"/>
            <wp:docPr id="1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8810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3614" w:firstLineChars="10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sz w:val="36"/>
          <w:szCs w:val="28"/>
          <w:lang w:val="en-US" w:eastAsia="zh-CN"/>
        </w:rPr>
        <w:t>朗诵类 一等奖</w:t>
      </w:r>
    </w:p>
    <w:p>
      <w:pPr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</w:rPr>
        <w:drawing>
          <wp:inline distT="0" distB="0" distL="114300" distR="114300">
            <wp:extent cx="6144895" cy="648335"/>
            <wp:effectExtent l="0" t="0" r="8255" b="8890"/>
            <wp:docPr id="1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44895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b/>
          <w:bCs/>
          <w:sz w:val="40"/>
          <w:szCs w:val="32"/>
          <w:lang w:val="en-US" w:eastAsia="zh-CN"/>
        </w:rPr>
      </w:pPr>
      <w:r>
        <w:rPr>
          <w:rFonts w:hint="eastAsia" w:ascii="宋体" w:hAnsi="宋体" w:eastAsia="宋体" w:cs="宋体"/>
        </w:rPr>
        <w:drawing>
          <wp:inline distT="0" distB="0" distL="114300" distR="114300">
            <wp:extent cx="5610860" cy="3375025"/>
            <wp:effectExtent l="0" t="0" r="8890" b="6350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0860" cy="337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b/>
          <w:bCs/>
          <w:sz w:val="40"/>
          <w:szCs w:val="32"/>
          <w:lang w:val="en-US" w:eastAsia="zh-CN"/>
        </w:rPr>
      </w:pPr>
      <w:r>
        <w:rPr>
          <w:rFonts w:hint="eastAsia" w:ascii="宋体" w:hAnsi="宋体" w:eastAsia="宋体" w:cs="宋体"/>
        </w:rPr>
        <w:drawing>
          <wp:inline distT="0" distB="0" distL="114300" distR="114300">
            <wp:extent cx="5648960" cy="3486150"/>
            <wp:effectExtent l="0" t="0" r="8890" b="0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48960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2409" w:firstLineChars="600"/>
        <w:rPr>
          <w:rFonts w:hint="eastAsia" w:ascii="宋体" w:hAnsi="宋体" w:eastAsia="宋体" w:cs="宋体"/>
          <w:b/>
          <w:bCs/>
          <w:sz w:val="40"/>
          <w:szCs w:val="32"/>
          <w:lang w:val="en-US" w:eastAsia="zh-CN"/>
        </w:rPr>
      </w:pP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114300" distR="114300">
            <wp:extent cx="5602605" cy="3567430"/>
            <wp:effectExtent l="0" t="0" r="7620" b="4445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02605" cy="356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114300" distR="114300">
            <wp:extent cx="5599430" cy="3703955"/>
            <wp:effectExtent l="0" t="0" r="1270" b="1270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99430" cy="370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lang w:val="en-US" w:eastAsia="zh-CN"/>
        </w:rPr>
      </w:pPr>
    </w:p>
    <w:p>
      <w:pPr>
        <w:rPr>
          <w:rFonts w:hint="eastAsia" w:ascii="宋体" w:hAnsi="宋体" w:eastAsia="宋体" w:cs="宋体"/>
          <w:lang w:val="en-US" w:eastAsia="zh-CN"/>
        </w:rPr>
      </w:pPr>
    </w:p>
    <w:p>
      <w:pPr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drawing>
          <wp:inline distT="0" distB="0" distL="114300" distR="114300">
            <wp:extent cx="5272405" cy="7439025"/>
            <wp:effectExtent l="0" t="0" r="4445" b="0"/>
            <wp:docPr id="19" name="图片 19" descr="45f56d77af12ac79f53715da3875a9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45f56d77af12ac79f53715da3875a96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3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drawing>
          <wp:inline distT="0" distB="0" distL="114300" distR="114300">
            <wp:extent cx="5229225" cy="7634605"/>
            <wp:effectExtent l="0" t="0" r="0" b="4445"/>
            <wp:docPr id="20" name="图片 20" descr="a9eb0b0423bcaacd5f96dc5110375f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a9eb0b0423bcaacd5f96dc5110375f6e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763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left="0" w:leftChars="0" w:firstLine="3200" w:firstLineChars="1000"/>
        <w:jc w:val="both"/>
        <w:textAlignment w:val="auto"/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cs="Times New Roman Regular"/>
          <w:sz w:val="32"/>
          <w:szCs w:val="32"/>
          <w:lang w:val="en-US" w:eastAsia="zh-CN"/>
        </w:rPr>
        <w:t>2.</w:t>
      </w:r>
      <w:r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  <w:t>艺术展演活动</w:t>
      </w:r>
    </w:p>
    <w:p>
      <w:pPr>
        <w:tabs>
          <w:tab w:val="left" w:pos="1798"/>
        </w:tabs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114300" distR="114300">
            <wp:extent cx="5603875" cy="3169285"/>
            <wp:effectExtent l="0" t="0" r="6350" b="2540"/>
            <wp:docPr id="29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03875" cy="316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1798"/>
        </w:tabs>
        <w:rPr>
          <w:rFonts w:hint="eastAsia" w:ascii="宋体" w:hAnsi="宋体" w:eastAsia="宋体" w:cs="宋体"/>
        </w:rPr>
      </w:pPr>
    </w:p>
    <w:p>
      <w:pPr>
        <w:tabs>
          <w:tab w:val="left" w:pos="1798"/>
        </w:tabs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114300" distR="114300">
            <wp:extent cx="5607685" cy="3092450"/>
            <wp:effectExtent l="0" t="0" r="2540" b="3175"/>
            <wp:docPr id="28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07685" cy="309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1798"/>
        </w:tabs>
        <w:rPr>
          <w:rFonts w:hint="eastAsia" w:ascii="宋体" w:hAnsi="宋体" w:eastAsia="宋体" w:cs="宋体"/>
        </w:rPr>
      </w:pPr>
    </w:p>
    <w:p>
      <w:pPr>
        <w:tabs>
          <w:tab w:val="left" w:pos="1798"/>
        </w:tabs>
        <w:rPr>
          <w:rFonts w:hint="eastAsia" w:ascii="宋体" w:hAnsi="宋体" w:eastAsia="宋体" w:cs="宋体"/>
        </w:rPr>
      </w:pPr>
    </w:p>
    <w:p>
      <w:pPr>
        <w:tabs>
          <w:tab w:val="left" w:pos="1798"/>
        </w:tabs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114300" distR="114300">
            <wp:extent cx="5602605" cy="3159125"/>
            <wp:effectExtent l="0" t="0" r="7620" b="3175"/>
            <wp:docPr id="35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02605" cy="315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1798"/>
        </w:tabs>
        <w:rPr>
          <w:rFonts w:hint="eastAsia" w:ascii="宋体" w:hAnsi="宋体" w:eastAsia="宋体" w:cs="宋体"/>
        </w:rPr>
      </w:pPr>
    </w:p>
    <w:p>
      <w:pPr>
        <w:tabs>
          <w:tab w:val="left" w:pos="1798"/>
        </w:tabs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114300" distR="114300">
            <wp:extent cx="5590540" cy="3660140"/>
            <wp:effectExtent l="0" t="0" r="635" b="6985"/>
            <wp:docPr id="30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590540" cy="366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1798"/>
        </w:tabs>
        <w:rPr>
          <w:rFonts w:hint="eastAsia" w:ascii="宋体" w:hAnsi="宋体" w:eastAsia="宋体" w:cs="宋体"/>
        </w:rPr>
      </w:pPr>
    </w:p>
    <w:p>
      <w:pPr>
        <w:tabs>
          <w:tab w:val="left" w:pos="1798"/>
        </w:tabs>
        <w:rPr>
          <w:rFonts w:hint="eastAsia" w:ascii="宋体" w:hAnsi="宋体" w:eastAsia="宋体" w:cs="宋体"/>
        </w:rPr>
      </w:pPr>
    </w:p>
    <w:p>
      <w:pPr>
        <w:tabs>
          <w:tab w:val="left" w:pos="1798"/>
        </w:tabs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114300" distR="114300">
            <wp:extent cx="5610860" cy="3154045"/>
            <wp:effectExtent l="0" t="0" r="8890" b="8255"/>
            <wp:docPr id="21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10860" cy="315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1798"/>
        </w:tabs>
        <w:rPr>
          <w:rFonts w:hint="eastAsia" w:ascii="宋体" w:hAnsi="宋体" w:eastAsia="宋体" w:cs="宋体"/>
        </w:rPr>
      </w:pPr>
    </w:p>
    <w:p>
      <w:pPr>
        <w:tabs>
          <w:tab w:val="left" w:pos="1798"/>
        </w:tabs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 xml:space="preserve">       </w:t>
      </w:r>
      <w:r>
        <w:rPr>
          <w:rFonts w:hint="eastAsia" w:ascii="宋体" w:hAnsi="宋体" w:eastAsia="宋体" w:cs="宋体"/>
        </w:rPr>
        <w:drawing>
          <wp:inline distT="0" distB="0" distL="114300" distR="114300">
            <wp:extent cx="4247515" cy="4111625"/>
            <wp:effectExtent l="0" t="0" r="635" b="3175"/>
            <wp:docPr id="33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247515" cy="411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1798"/>
        </w:tabs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drawing>
          <wp:inline distT="0" distB="0" distL="114300" distR="114300">
            <wp:extent cx="5593715" cy="3052445"/>
            <wp:effectExtent l="0" t="0" r="6985" b="5080"/>
            <wp:docPr id="32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593715" cy="305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1798"/>
        </w:tabs>
        <w:rPr>
          <w:rFonts w:hint="eastAsia" w:ascii="宋体" w:hAnsi="宋体" w:eastAsia="宋体" w:cs="宋体"/>
        </w:rPr>
      </w:pPr>
    </w:p>
    <w:p>
      <w:pPr>
        <w:tabs>
          <w:tab w:val="left" w:pos="1798"/>
        </w:tabs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114300" distR="114300">
            <wp:extent cx="5615305" cy="3180080"/>
            <wp:effectExtent l="0" t="0" r="4445" b="1270"/>
            <wp:docPr id="34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615305" cy="318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1798"/>
        </w:tabs>
        <w:rPr>
          <w:rFonts w:hint="eastAsia" w:ascii="宋体" w:hAnsi="宋体" w:eastAsia="宋体" w:cs="宋体"/>
        </w:rPr>
      </w:pPr>
    </w:p>
    <w:p>
      <w:pPr>
        <w:tabs>
          <w:tab w:val="left" w:pos="1798"/>
        </w:tabs>
        <w:rPr>
          <w:rFonts w:hint="eastAsia" w:ascii="宋体" w:hAnsi="宋体" w:eastAsia="宋体" w:cs="宋体"/>
        </w:rPr>
      </w:pPr>
    </w:p>
    <w:p>
      <w:pPr>
        <w:tabs>
          <w:tab w:val="left" w:pos="1798"/>
        </w:tabs>
        <w:rPr>
          <w:rFonts w:hint="eastAsia" w:ascii="宋体" w:hAnsi="宋体" w:eastAsia="宋体" w:cs="宋体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ind w:firstLine="640" w:firstLineChars="200"/>
        <w:jc w:val="center"/>
        <w:textAlignment w:val="auto"/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方正仿宋_GBK" w:cs="Times New Roman Regular"/>
          <w:sz w:val="32"/>
          <w:szCs w:val="32"/>
          <w:lang w:val="en-US" w:eastAsia="zh-CN"/>
        </w:rPr>
        <w:t>3.部分学生绘画作品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12" w:lineRule="auto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3732530" cy="3749040"/>
            <wp:effectExtent l="0" t="0" r="1270" b="3810"/>
            <wp:docPr id="24" name="图片 2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1" descr="IMG_25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732530" cy="37490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>
      <w:pPr>
        <w:tabs>
          <w:tab w:val="left" w:pos="1798"/>
        </w:tabs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</w:p>
    <w:p>
      <w:pPr>
        <w:tabs>
          <w:tab w:val="left" w:pos="1798"/>
        </w:tabs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3657600" cy="3710940"/>
            <wp:effectExtent l="0" t="0" r="0" b="3810"/>
            <wp:docPr id="23" name="图片 2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0" descr="IMG_25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7109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1798"/>
        </w:tabs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3448050" cy="3565525"/>
            <wp:effectExtent l="0" t="0" r="0" b="6350"/>
            <wp:docPr id="22" name="图片 1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9" descr="IMG_25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3565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1798"/>
        </w:tabs>
        <w:rPr>
          <w:rFonts w:hint="eastAsia" w:ascii="宋体" w:hAnsi="宋体" w:eastAsia="宋体" w:cs="宋体"/>
          <w:sz w:val="24"/>
          <w:szCs w:val="24"/>
        </w:rPr>
      </w:pPr>
    </w:p>
    <w:p>
      <w:pPr>
        <w:tabs>
          <w:tab w:val="left" w:pos="1798"/>
        </w:tabs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3785870" cy="3436620"/>
            <wp:effectExtent l="0" t="0" r="5080" b="1905"/>
            <wp:docPr id="25" name="图片 2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2" descr="IMG_25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785870" cy="3436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</w:p>
    <w:p>
      <w:pPr>
        <w:tabs>
          <w:tab w:val="left" w:pos="1798"/>
        </w:tabs>
        <w:rPr>
          <w:rFonts w:hint="eastAsia" w:ascii="宋体" w:hAnsi="宋体" w:eastAsia="宋体" w:cs="宋体"/>
          <w:sz w:val="24"/>
          <w:szCs w:val="24"/>
        </w:rPr>
      </w:pPr>
    </w:p>
    <w:p>
      <w:pPr>
        <w:tabs>
          <w:tab w:val="left" w:pos="1798"/>
        </w:tabs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4036695" cy="3859530"/>
            <wp:effectExtent l="0" t="0" r="1905" b="7620"/>
            <wp:docPr id="26" name="图片 2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3" descr="IMG_25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036695" cy="38595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1798"/>
        </w:tabs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4761865" cy="3848735"/>
            <wp:effectExtent l="0" t="0" r="635" b="8890"/>
            <wp:docPr id="27" name="图片 2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4" descr="IMG_25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761865" cy="38487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2041" w:right="1531" w:bottom="204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B007E693-EE61-4F7C-9EBF-F85C45811FC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ABC747D2-E93B-4990-9C95-00F702F79979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B89D4392-2BE3-4752-9F34-1F6BEB4193E3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9E3C1629-7F6A-4C4D-9C18-08D855AD5731}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KSOFEC83043A">
    <w:altName w:val="宋体"/>
    <w:panose1 w:val="020B0503020204020204"/>
    <w:charset w:val="86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F5CC6"/>
    <w:rsid w:val="02A12ECC"/>
    <w:rsid w:val="08626C5A"/>
    <w:rsid w:val="09310382"/>
    <w:rsid w:val="09AA1703"/>
    <w:rsid w:val="0B016BFE"/>
    <w:rsid w:val="11C24C0D"/>
    <w:rsid w:val="132911E1"/>
    <w:rsid w:val="15EF3AF7"/>
    <w:rsid w:val="163B0AEA"/>
    <w:rsid w:val="19B337B9"/>
    <w:rsid w:val="1B3F4BEE"/>
    <w:rsid w:val="1EC4076B"/>
    <w:rsid w:val="1F9C5060"/>
    <w:rsid w:val="217B0EE3"/>
    <w:rsid w:val="21FC167D"/>
    <w:rsid w:val="2538541D"/>
    <w:rsid w:val="27C60AAB"/>
    <w:rsid w:val="283C7623"/>
    <w:rsid w:val="2AD27817"/>
    <w:rsid w:val="2DAC25A2"/>
    <w:rsid w:val="2FC11C09"/>
    <w:rsid w:val="308F0B2D"/>
    <w:rsid w:val="33927FA5"/>
    <w:rsid w:val="344D162C"/>
    <w:rsid w:val="35FA5E74"/>
    <w:rsid w:val="38504F55"/>
    <w:rsid w:val="3BB702F4"/>
    <w:rsid w:val="40913480"/>
    <w:rsid w:val="41120516"/>
    <w:rsid w:val="49115557"/>
    <w:rsid w:val="4B967E85"/>
    <w:rsid w:val="4D4C3002"/>
    <w:rsid w:val="4E1A16EE"/>
    <w:rsid w:val="4FE832C2"/>
    <w:rsid w:val="552503C0"/>
    <w:rsid w:val="561A0F2A"/>
    <w:rsid w:val="59EA4856"/>
    <w:rsid w:val="5D9544F1"/>
    <w:rsid w:val="5F3D0F02"/>
    <w:rsid w:val="65242442"/>
    <w:rsid w:val="6B9B2D32"/>
    <w:rsid w:val="7725204A"/>
    <w:rsid w:val="7BEB3862"/>
    <w:rsid w:val="7E543940"/>
    <w:rsid w:val="7F802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仿宋_GB2312"/>
      <w:sz w:val="18"/>
      <w:szCs w:val="20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table" w:customStyle="1" w:styleId="10">
    <w:name w:val="Table Normal"/>
    <w:unhideWhenUsed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5" Type="http://schemas.openxmlformats.org/officeDocument/2006/relationships/fontTable" Target="fontTable.xml"/><Relationship Id="rId34" Type="http://schemas.openxmlformats.org/officeDocument/2006/relationships/customXml" Target="../customXml/item2.xml"/><Relationship Id="rId33" Type="http://schemas.openxmlformats.org/officeDocument/2006/relationships/customXml" Target="../customXml/item1.xml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contractReview xmlns="http://schemas.wps.cn/vas-ai-hub/contract-review">
  <reviewItems>
    <reviewItem>
      <errorID>16a31953-306b-4411-9a4e-925c2b42e64f</errorID>
      <errorWord>美育教育</errorWord>
      <group>L1_AI</group>
      <groupName>深度校对</groupName>
      <ability>L2_AI_Grammar</ability>
      <abilityName>语法纠错</abilityName>
      <candidateList>
        <item>美育</item>
      </candidateList>
      <explain/>
      <paraID>2B41CAEF</paraID>
      <start>1</start>
      <end>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b654eff-0fed-4c10-a45f-1e452648f8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2828</Words>
  <Characters>2870</Characters>
  <Lines>0</Lines>
  <Paragraphs>0</Paragraphs>
  <TotalTime>0</TotalTime>
  <ScaleCrop>false</ScaleCrop>
  <LinksUpToDate>false</LinksUpToDate>
  <CharactersWithSpaces>3016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2026-01-20T02:03:00Z</dcterms:created>
  <dc:creator>Administrator</dc:creator>
  <cp:lastModifiedBy>刘慧</cp:lastModifiedBy>
  <cp:lastPrinted>2026-01-26T01:23:00Z</cp:lastPrinted>
  <dcterms:modified xsi:type="dcterms:W3CDTF">2026-10-18T04:32:25Z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  <property fmtid="{D5CDD505-2E9C-101B-9397-08002B2CF9AE}" pid="3" name="ICV">
    <vt:lpwstr>6C29B3DF39B848ADA19DC3B774DE6D3C_13</vt:lpwstr>
  </property>
  <property fmtid="{D5CDD505-2E9C-101B-9397-08002B2CF9AE}" pid="4" name="KSOTemplateDocerSaveRecord">
    <vt:lpwstr>eyJoZGlkIjoiMGI5OTU5NjA1NDRhZjY2NTZlNWY2YTIwMmI3NTdjMmMiLCJ1c2VySWQiOiIyMTY2MTQwOTcifQ==</vt:lpwstr>
  </property>
</Properties>
</file>